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60EE0">
      <w:pPr>
        <w:widowControl/>
        <w:spacing w:before="100" w:beforeAutospacing="1" w:after="100" w:afterAutospacing="1" w:line="420" w:lineRule="atLeast"/>
        <w:jc w:val="left"/>
        <w:rPr>
          <w:rFonts w:ascii="宋体" w:hAnsi="宋体" w:cs="宋体"/>
          <w:color w:val="auto"/>
          <w:kern w:val="0"/>
          <w:sz w:val="24"/>
        </w:rPr>
      </w:pPr>
    </w:p>
    <w:p w14:paraId="2507561A">
      <w:pPr>
        <w:jc w:val="center"/>
        <w:rPr>
          <w:rFonts w:ascii="宋体" w:hAnsi="宋体" w:cs="宋体"/>
          <w:b/>
          <w:bCs/>
          <w:color w:val="auto"/>
          <w:sz w:val="52"/>
          <w:szCs w:val="52"/>
        </w:rPr>
      </w:pPr>
      <w:r>
        <w:rPr>
          <w:rFonts w:hint="eastAsia" w:ascii="宋体" w:hAnsi="宋体" w:cs="宋体"/>
          <w:b/>
          <w:bCs/>
          <w:color w:val="auto"/>
          <w:sz w:val="52"/>
          <w:szCs w:val="52"/>
        </w:rPr>
        <w:t>娄底职业技术学院省级双高校</w:t>
      </w:r>
    </w:p>
    <w:p w14:paraId="1E6AD25B">
      <w:pPr>
        <w:jc w:val="center"/>
        <w:rPr>
          <w:rFonts w:ascii="宋体" w:hAnsi="宋体" w:cs="宋体"/>
          <w:b/>
          <w:bCs/>
          <w:color w:val="auto"/>
          <w:sz w:val="52"/>
          <w:szCs w:val="52"/>
        </w:rPr>
      </w:pPr>
      <w:r>
        <w:rPr>
          <w:rFonts w:hint="eastAsia" w:ascii="宋体" w:hAnsi="宋体" w:cs="宋体"/>
          <w:b/>
          <w:bCs/>
          <w:color w:val="auto"/>
          <w:sz w:val="52"/>
          <w:szCs w:val="52"/>
        </w:rPr>
        <w:t>建设第三方评价服务项目</w:t>
      </w:r>
    </w:p>
    <w:p w14:paraId="6E7AB32D">
      <w:pPr>
        <w:jc w:val="center"/>
        <w:rPr>
          <w:b/>
          <w:bCs/>
          <w:color w:val="auto"/>
          <w:sz w:val="52"/>
          <w:szCs w:val="52"/>
        </w:rPr>
      </w:pPr>
    </w:p>
    <w:p w14:paraId="6B8B6C53">
      <w:pPr>
        <w:jc w:val="center"/>
        <w:rPr>
          <w:b/>
          <w:bCs/>
          <w:color w:val="auto"/>
          <w:sz w:val="52"/>
          <w:szCs w:val="52"/>
        </w:rPr>
      </w:pPr>
    </w:p>
    <w:p w14:paraId="0096985B">
      <w:pPr>
        <w:jc w:val="center"/>
        <w:rPr>
          <w:b/>
          <w:bCs/>
          <w:color w:val="auto"/>
          <w:sz w:val="72"/>
          <w:szCs w:val="72"/>
        </w:rPr>
      </w:pPr>
      <w:r>
        <w:rPr>
          <w:rFonts w:hint="eastAsia"/>
          <w:b/>
          <w:bCs/>
          <w:color w:val="auto"/>
          <w:sz w:val="72"/>
          <w:szCs w:val="72"/>
        </w:rPr>
        <w:t>采</w:t>
      </w:r>
    </w:p>
    <w:p w14:paraId="42843B4E">
      <w:pPr>
        <w:jc w:val="center"/>
        <w:rPr>
          <w:b/>
          <w:bCs/>
          <w:color w:val="auto"/>
          <w:sz w:val="72"/>
          <w:szCs w:val="72"/>
        </w:rPr>
      </w:pPr>
      <w:r>
        <w:rPr>
          <w:rFonts w:hint="eastAsia"/>
          <w:b/>
          <w:bCs/>
          <w:color w:val="auto"/>
          <w:sz w:val="72"/>
          <w:szCs w:val="72"/>
        </w:rPr>
        <w:t>购</w:t>
      </w:r>
    </w:p>
    <w:p w14:paraId="453F01F1">
      <w:pPr>
        <w:jc w:val="center"/>
        <w:rPr>
          <w:b/>
          <w:bCs/>
          <w:color w:val="auto"/>
          <w:sz w:val="72"/>
          <w:szCs w:val="72"/>
        </w:rPr>
      </w:pPr>
      <w:r>
        <w:rPr>
          <w:rFonts w:hint="eastAsia"/>
          <w:b/>
          <w:bCs/>
          <w:color w:val="auto"/>
          <w:sz w:val="72"/>
          <w:szCs w:val="72"/>
        </w:rPr>
        <w:t>需</w:t>
      </w:r>
    </w:p>
    <w:p w14:paraId="620E5302">
      <w:pPr>
        <w:jc w:val="center"/>
        <w:rPr>
          <w:b/>
          <w:bCs/>
          <w:color w:val="auto"/>
          <w:sz w:val="52"/>
          <w:szCs w:val="52"/>
        </w:rPr>
      </w:pPr>
      <w:r>
        <w:rPr>
          <w:rFonts w:hint="eastAsia"/>
          <w:b/>
          <w:bCs/>
          <w:color w:val="auto"/>
          <w:sz w:val="72"/>
          <w:szCs w:val="72"/>
        </w:rPr>
        <w:t>求</w:t>
      </w:r>
    </w:p>
    <w:p w14:paraId="1845E108">
      <w:pPr>
        <w:jc w:val="center"/>
        <w:rPr>
          <w:b/>
          <w:bCs/>
          <w:color w:val="auto"/>
          <w:sz w:val="36"/>
          <w:szCs w:val="36"/>
        </w:rPr>
      </w:pPr>
    </w:p>
    <w:p w14:paraId="796C02E3">
      <w:pPr>
        <w:jc w:val="center"/>
        <w:rPr>
          <w:b/>
          <w:bCs/>
          <w:color w:val="auto"/>
          <w:sz w:val="36"/>
          <w:szCs w:val="36"/>
        </w:rPr>
      </w:pPr>
    </w:p>
    <w:p w14:paraId="3A6EA652">
      <w:pPr>
        <w:jc w:val="center"/>
        <w:rPr>
          <w:b/>
          <w:bCs/>
          <w:color w:val="auto"/>
          <w:sz w:val="36"/>
          <w:szCs w:val="36"/>
        </w:rPr>
      </w:pPr>
    </w:p>
    <w:p w14:paraId="2C104ECD">
      <w:pPr>
        <w:jc w:val="center"/>
        <w:rPr>
          <w:b/>
          <w:bCs/>
          <w:color w:val="auto"/>
          <w:sz w:val="36"/>
          <w:szCs w:val="36"/>
        </w:rPr>
      </w:pPr>
    </w:p>
    <w:p w14:paraId="0CEA0653">
      <w:pPr>
        <w:jc w:val="center"/>
        <w:rPr>
          <w:b/>
          <w:bCs/>
          <w:color w:val="auto"/>
          <w:sz w:val="36"/>
          <w:szCs w:val="36"/>
        </w:rPr>
      </w:pPr>
      <w:r>
        <w:rPr>
          <w:rFonts w:hint="eastAsia"/>
          <w:b/>
          <w:bCs/>
          <w:color w:val="auto"/>
          <w:sz w:val="36"/>
          <w:szCs w:val="36"/>
        </w:rPr>
        <w:t>娄底职业技术学院资产管理处</w:t>
      </w:r>
    </w:p>
    <w:p w14:paraId="3E3B8ED5">
      <w:pPr>
        <w:spacing w:line="580" w:lineRule="exact"/>
        <w:jc w:val="center"/>
        <w:rPr>
          <w:rFonts w:ascii="宋体" w:hAnsi="宋体" w:cs="宋体"/>
          <w:b/>
          <w:bCs/>
          <w:color w:val="auto"/>
          <w:sz w:val="44"/>
          <w:szCs w:val="44"/>
        </w:rPr>
      </w:pPr>
      <w:r>
        <w:rPr>
          <w:rFonts w:hint="eastAsia"/>
          <w:b/>
          <w:bCs/>
          <w:color w:val="auto"/>
          <w:sz w:val="36"/>
          <w:szCs w:val="36"/>
        </w:rPr>
        <w:t>2025年5月30日</w:t>
      </w:r>
      <w:r>
        <w:rPr>
          <w:rFonts w:hint="eastAsia" w:ascii="宋体" w:hAnsi="宋体" w:cs="宋体"/>
          <w:b/>
          <w:bCs/>
          <w:color w:val="auto"/>
          <w:sz w:val="32"/>
          <w:szCs w:val="32"/>
        </w:rPr>
        <w:br w:type="page"/>
      </w:r>
      <w:r>
        <w:rPr>
          <w:rFonts w:hint="eastAsia" w:ascii="宋体" w:hAnsi="宋体" w:cs="宋体"/>
          <w:b/>
          <w:bCs/>
          <w:color w:val="auto"/>
          <w:sz w:val="44"/>
          <w:szCs w:val="44"/>
        </w:rPr>
        <w:t>娄底职业技术学院省级双高校</w:t>
      </w:r>
      <w:bookmarkStart w:id="34" w:name="_GoBack"/>
      <w:bookmarkEnd w:id="34"/>
    </w:p>
    <w:p w14:paraId="7542933B">
      <w:pPr>
        <w:spacing w:line="580" w:lineRule="exact"/>
        <w:jc w:val="center"/>
        <w:rPr>
          <w:rFonts w:ascii="宋体" w:hAnsi="宋体" w:cs="宋体"/>
          <w:b/>
          <w:bCs/>
          <w:color w:val="auto"/>
          <w:sz w:val="44"/>
          <w:szCs w:val="44"/>
        </w:rPr>
      </w:pPr>
      <w:r>
        <w:rPr>
          <w:rFonts w:hint="eastAsia" w:ascii="宋体" w:hAnsi="宋体" w:cs="宋体"/>
          <w:b/>
          <w:bCs/>
          <w:color w:val="auto"/>
          <w:sz w:val="44"/>
          <w:szCs w:val="44"/>
        </w:rPr>
        <w:t>建设第三方评价服务项目采购需求</w:t>
      </w:r>
    </w:p>
    <w:p w14:paraId="3959D231">
      <w:pPr>
        <w:spacing w:line="580" w:lineRule="exact"/>
        <w:jc w:val="center"/>
        <w:rPr>
          <w:rFonts w:ascii="宋体" w:hAnsi="宋体" w:cs="宋体"/>
          <w:color w:val="auto"/>
          <w:sz w:val="32"/>
          <w:szCs w:val="32"/>
        </w:rPr>
      </w:pPr>
    </w:p>
    <w:p w14:paraId="7BFE5218">
      <w:pPr>
        <w:spacing w:line="580" w:lineRule="exact"/>
        <w:ind w:firstLine="640" w:firstLineChars="200"/>
        <w:rPr>
          <w:rFonts w:ascii="仿宋" w:hAnsi="仿宋" w:eastAsia="仿宋"/>
          <w:color w:val="auto"/>
          <w:sz w:val="32"/>
          <w:szCs w:val="32"/>
        </w:rPr>
      </w:pPr>
      <w:r>
        <w:rPr>
          <w:rFonts w:hint="eastAsia" w:ascii="黑体" w:hAnsi="黑体" w:eastAsia="黑体"/>
          <w:bCs/>
          <w:color w:val="auto"/>
          <w:sz w:val="32"/>
          <w:szCs w:val="32"/>
        </w:rPr>
        <w:t>一、项目名称：</w:t>
      </w:r>
      <w:r>
        <w:rPr>
          <w:rFonts w:hint="eastAsia" w:ascii="仿宋" w:hAnsi="仿宋" w:eastAsia="仿宋"/>
          <w:color w:val="auto"/>
          <w:sz w:val="32"/>
          <w:szCs w:val="32"/>
        </w:rPr>
        <w:t>娄底职业技术学院省级双高校建设第三方评价服务项目</w:t>
      </w:r>
    </w:p>
    <w:p w14:paraId="16E5BEF1">
      <w:pPr>
        <w:spacing w:line="580" w:lineRule="exact"/>
        <w:ind w:firstLine="640" w:firstLineChars="200"/>
        <w:rPr>
          <w:rFonts w:ascii="宋体" w:hAnsi="宋体" w:cs="宋体"/>
          <w:color w:val="auto"/>
          <w:sz w:val="32"/>
          <w:szCs w:val="32"/>
        </w:rPr>
      </w:pPr>
      <w:r>
        <w:rPr>
          <w:rFonts w:hint="eastAsia" w:ascii="黑体" w:hAnsi="黑体" w:eastAsia="黑体"/>
          <w:bCs/>
          <w:color w:val="auto"/>
          <w:sz w:val="32"/>
          <w:szCs w:val="32"/>
        </w:rPr>
        <w:t>二、预算控制价：</w:t>
      </w:r>
      <w:r>
        <w:rPr>
          <w:rFonts w:hint="eastAsia" w:ascii="仿宋" w:hAnsi="仿宋" w:eastAsia="仿宋"/>
          <w:color w:val="auto"/>
          <w:sz w:val="32"/>
          <w:szCs w:val="32"/>
        </w:rPr>
        <w:t>20万元</w:t>
      </w:r>
    </w:p>
    <w:p w14:paraId="0D55F065">
      <w:pPr>
        <w:spacing w:line="580" w:lineRule="exact"/>
        <w:ind w:firstLine="640" w:firstLineChars="200"/>
        <w:rPr>
          <w:rFonts w:eastAsia="黑体"/>
          <w:color w:val="auto"/>
          <w:sz w:val="32"/>
          <w:szCs w:val="32"/>
        </w:rPr>
      </w:pPr>
      <w:r>
        <w:rPr>
          <w:rFonts w:hint="eastAsia" w:ascii="黑体" w:hAnsi="黑体" w:eastAsia="黑体"/>
          <w:bCs/>
          <w:color w:val="auto"/>
          <w:sz w:val="32"/>
          <w:szCs w:val="32"/>
        </w:rPr>
        <w:t>三、采购方式：</w:t>
      </w:r>
      <w:r>
        <w:rPr>
          <w:rFonts w:hint="eastAsia" w:ascii="仿宋" w:hAnsi="仿宋" w:eastAsia="仿宋"/>
          <w:color w:val="auto"/>
          <w:sz w:val="32"/>
          <w:szCs w:val="32"/>
        </w:rPr>
        <w:t>竞争性谈判</w:t>
      </w:r>
    </w:p>
    <w:p w14:paraId="2B3ED88A">
      <w:pPr>
        <w:spacing w:line="58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四、资质条件</w:t>
      </w:r>
    </w:p>
    <w:p w14:paraId="1BA08F29">
      <w:pPr>
        <w:spacing w:line="580" w:lineRule="exact"/>
        <w:ind w:firstLine="603" w:firstLineChars="200"/>
        <w:rPr>
          <w:rFonts w:ascii="华文楷体" w:hAnsi="华文楷体" w:eastAsia="华文楷体" w:cs="宋体"/>
          <w:b/>
          <w:color w:val="auto"/>
          <w:spacing w:val="-10"/>
          <w:sz w:val="32"/>
          <w:szCs w:val="32"/>
        </w:rPr>
      </w:pPr>
      <w:r>
        <w:rPr>
          <w:rFonts w:hint="eastAsia" w:ascii="华文楷体" w:hAnsi="华文楷体" w:eastAsia="华文楷体" w:cs="宋体"/>
          <w:b/>
          <w:color w:val="auto"/>
          <w:spacing w:val="-10"/>
          <w:sz w:val="32"/>
          <w:szCs w:val="32"/>
        </w:rPr>
        <w:t>1.基本资质条件</w:t>
      </w:r>
    </w:p>
    <w:p w14:paraId="585387C2">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（1）投标人满足《中华人民共和国政府采购法》第二十二条规定;</w:t>
      </w:r>
    </w:p>
    <w:p w14:paraId="28301E05">
      <w:pPr>
        <w:spacing w:line="58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（2）投标人未被列入“信用中国”网站(www.creditchina.gov.cn)失信被执行人名单、重大税收违法案件当事人名单和中国政府采购网(www.ccgp.gov.cn)政府采购严重违法失信行为记录名单；</w:t>
      </w:r>
    </w:p>
    <w:p w14:paraId="5EF76A3E">
      <w:pPr>
        <w:spacing w:line="58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（3）本项目属于社会调查，根据《外商投资准入特别管理措施（负面清单）（2024年版）》第十六条，本项目不接受“外商投资准入特别管理措施（负面清单）”规定的外资背景企业投标。</w:t>
      </w:r>
    </w:p>
    <w:p w14:paraId="3E71BAE7">
      <w:pPr>
        <w:spacing w:line="580" w:lineRule="exact"/>
        <w:ind w:firstLine="603" w:firstLineChars="200"/>
        <w:rPr>
          <w:rFonts w:ascii="仿宋" w:hAnsi="仿宋" w:eastAsia="仿宋"/>
          <w:color w:val="auto"/>
          <w:sz w:val="32"/>
          <w:szCs w:val="32"/>
        </w:rPr>
      </w:pPr>
      <w:r>
        <w:rPr>
          <w:rFonts w:hint="eastAsia" w:ascii="华文楷体" w:hAnsi="华文楷体" w:eastAsia="华文楷体" w:cs="宋体"/>
          <w:b/>
          <w:color w:val="auto"/>
          <w:spacing w:val="-10"/>
          <w:sz w:val="32"/>
          <w:szCs w:val="32"/>
        </w:rPr>
        <w:t>2.一般资质条件：</w:t>
      </w:r>
      <w:r>
        <w:rPr>
          <w:rFonts w:hint="eastAsia" w:ascii="仿宋" w:hAnsi="仿宋" w:eastAsia="仿宋"/>
          <w:color w:val="auto"/>
          <w:sz w:val="32"/>
          <w:szCs w:val="32"/>
        </w:rPr>
        <w:t>投标人必须具备高等职业教育第三方评价服务的资质，投标人已入驻湖南省政府采购电子卖场。</w:t>
      </w:r>
    </w:p>
    <w:p w14:paraId="60650E5C">
      <w:pPr>
        <w:spacing w:line="58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五、采购基本要求</w:t>
      </w:r>
    </w:p>
    <w:p w14:paraId="14CCFB44">
      <w:pPr>
        <w:spacing w:line="580" w:lineRule="exact"/>
        <w:ind w:firstLine="600"/>
        <w:rPr>
          <w:rFonts w:ascii="华文楷体" w:hAnsi="华文楷体" w:eastAsia="华文楷体" w:cs="宋体"/>
          <w:b/>
          <w:color w:val="auto"/>
          <w:spacing w:val="-10"/>
          <w:sz w:val="32"/>
          <w:szCs w:val="32"/>
        </w:rPr>
      </w:pPr>
      <w:r>
        <w:rPr>
          <w:rFonts w:hint="eastAsia" w:ascii="华文楷体" w:hAnsi="华文楷体" w:eastAsia="华文楷体" w:cs="宋体"/>
          <w:b/>
          <w:color w:val="auto"/>
          <w:spacing w:val="-10"/>
          <w:sz w:val="32"/>
          <w:szCs w:val="32"/>
        </w:rPr>
        <w:t>1.项目概述</w:t>
      </w:r>
    </w:p>
    <w:p w14:paraId="0F2C8D71">
      <w:pPr>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通过投标人专家团队对我校省级双高校建设开展第三方评价服务，全面、客观、科学和精准评价学校省级双高校8个一级指标建设质量和</w:t>
      </w:r>
      <w:bookmarkStart w:id="0" w:name="OLE_LINK17"/>
      <w:r>
        <w:rPr>
          <w:rFonts w:hint="eastAsia" w:ascii="仿宋" w:hAnsi="仿宋" w:eastAsia="仿宋"/>
          <w:color w:val="auto"/>
          <w:sz w:val="32"/>
          <w:szCs w:val="32"/>
        </w:rPr>
        <w:t>3个高水平专业群服务对象满意度</w:t>
      </w:r>
      <w:bookmarkEnd w:id="0"/>
      <w:r>
        <w:rPr>
          <w:rFonts w:hint="eastAsia" w:ascii="仿宋" w:hAnsi="仿宋" w:eastAsia="仿宋"/>
          <w:color w:val="auto"/>
          <w:sz w:val="32"/>
          <w:szCs w:val="32"/>
        </w:rPr>
        <w:t>，为双高建设工作优化提供参考依据。</w:t>
      </w:r>
    </w:p>
    <w:p w14:paraId="6DF74E1D">
      <w:pPr>
        <w:spacing w:line="580" w:lineRule="exact"/>
        <w:ind w:firstLine="603" w:firstLineChars="200"/>
        <w:rPr>
          <w:rFonts w:ascii="仿宋" w:hAnsi="仿宋" w:eastAsia="仿宋"/>
          <w:color w:val="auto"/>
          <w:sz w:val="32"/>
          <w:szCs w:val="32"/>
        </w:rPr>
      </w:pPr>
      <w:r>
        <w:rPr>
          <w:rFonts w:hint="eastAsia" w:ascii="华文楷体" w:hAnsi="华文楷体" w:eastAsia="华文楷体" w:cs="宋体"/>
          <w:b/>
          <w:color w:val="auto"/>
          <w:spacing w:val="-10"/>
          <w:sz w:val="32"/>
          <w:szCs w:val="32"/>
        </w:rPr>
        <w:t>2.项目任务及要求</w:t>
      </w:r>
    </w:p>
    <w:p w14:paraId="6576AE25">
      <w:pPr>
        <w:spacing w:after="156" w:afterLines="50" w:line="580" w:lineRule="exact"/>
        <w:ind w:firstLine="640" w:firstLineChars="200"/>
        <w:rPr>
          <w:rFonts w:ascii="仿宋" w:hAnsi="仿宋" w:eastAsia="仿宋"/>
          <w:color w:val="auto"/>
          <w:sz w:val="32"/>
          <w:szCs w:val="32"/>
        </w:rPr>
      </w:pPr>
      <w:bookmarkStart w:id="1" w:name="OLE_LINK1"/>
      <w:bookmarkStart w:id="2" w:name="OLE_LINK2"/>
      <w:r>
        <w:rPr>
          <w:rFonts w:hint="eastAsia" w:ascii="仿宋" w:hAnsi="仿宋" w:eastAsia="仿宋"/>
          <w:color w:val="auto"/>
          <w:sz w:val="32"/>
          <w:szCs w:val="32"/>
        </w:rPr>
        <w:t>投标人专家团队根据省级双高校相关政策要求，结合学校建设方案及任务书，科学构建学校层面的</w:t>
      </w:r>
      <w:bookmarkStart w:id="3" w:name="OLE_LINK14"/>
      <w:r>
        <w:rPr>
          <w:rFonts w:hint="eastAsia" w:ascii="仿宋" w:hAnsi="仿宋" w:eastAsia="仿宋"/>
          <w:color w:val="auto"/>
          <w:sz w:val="32"/>
          <w:szCs w:val="32"/>
        </w:rPr>
        <w:t>双高建设质量评价指标体系，面向在校生、毕业生、教职工、用人单位及学生家长等5个利益相关群体开展问卷调研，</w:t>
      </w:r>
      <w:bookmarkEnd w:id="3"/>
      <w:r>
        <w:rPr>
          <w:rFonts w:hint="eastAsia" w:ascii="仿宋" w:hAnsi="仿宋" w:eastAsia="仿宋"/>
          <w:color w:val="auto"/>
          <w:sz w:val="32"/>
          <w:szCs w:val="32"/>
        </w:rPr>
        <w:t>对我校省级双高校建设开展第三方评价服务，全面、客观、科学和精准评价省级双高校“一加强二建设二推进三提升”</w:t>
      </w:r>
      <w:bookmarkStart w:id="4" w:name="OLE_LINK16"/>
      <w:bookmarkStart w:id="5" w:name="OLE_LINK15"/>
      <w:r>
        <w:rPr>
          <w:rFonts w:hint="eastAsia" w:ascii="仿宋" w:hAnsi="仿宋" w:eastAsia="仿宋"/>
          <w:color w:val="auto"/>
          <w:sz w:val="32"/>
          <w:szCs w:val="32"/>
        </w:rPr>
        <w:t>8个一级指标建设质量</w:t>
      </w:r>
      <w:bookmarkEnd w:id="4"/>
      <w:bookmarkEnd w:id="5"/>
      <w:r>
        <w:rPr>
          <w:rFonts w:hint="eastAsia" w:ascii="仿宋" w:hAnsi="仿宋" w:eastAsia="仿宋"/>
          <w:color w:val="auto"/>
          <w:sz w:val="32"/>
          <w:szCs w:val="32"/>
        </w:rPr>
        <w:t>和3个高水平专业群服务对象满意度，形成涵盖各院部数据的学校省级双高校建设质量第三方评价报告和3个高水平专业群服务对象满意度调查报告。</w:t>
      </w:r>
    </w:p>
    <w:tbl>
      <w:tblPr>
        <w:tblStyle w:val="5"/>
        <w:tblW w:w="55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766"/>
        <w:gridCol w:w="664"/>
        <w:gridCol w:w="4964"/>
        <w:gridCol w:w="852"/>
        <w:gridCol w:w="851"/>
        <w:gridCol w:w="936"/>
      </w:tblGrid>
      <w:tr w14:paraId="17E1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4" w:type="dxa"/>
            <w:tcBorders>
              <w:top w:val="single" w:color="auto" w:sz="4" w:space="0"/>
              <w:left w:val="single" w:color="auto" w:sz="4" w:space="0"/>
              <w:bottom w:val="single" w:color="auto" w:sz="4" w:space="0"/>
              <w:right w:val="single" w:color="auto" w:sz="4" w:space="0"/>
            </w:tcBorders>
            <w:vAlign w:val="center"/>
          </w:tcPr>
          <w:p w14:paraId="7813E5AF">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766" w:type="dxa"/>
            <w:tcBorders>
              <w:top w:val="single" w:color="auto" w:sz="4" w:space="0"/>
              <w:left w:val="nil"/>
              <w:bottom w:val="single" w:color="auto" w:sz="4" w:space="0"/>
              <w:right w:val="single" w:color="auto" w:sz="4" w:space="0"/>
            </w:tcBorders>
            <w:vAlign w:val="center"/>
          </w:tcPr>
          <w:p w14:paraId="644FAE52">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工作类别</w:t>
            </w:r>
          </w:p>
        </w:tc>
        <w:tc>
          <w:tcPr>
            <w:tcW w:w="664" w:type="dxa"/>
            <w:tcBorders>
              <w:top w:val="single" w:color="auto" w:sz="4" w:space="0"/>
              <w:left w:val="nil"/>
              <w:bottom w:val="single" w:color="auto" w:sz="4" w:space="0"/>
              <w:right w:val="single" w:color="auto" w:sz="4" w:space="0"/>
            </w:tcBorders>
            <w:vAlign w:val="center"/>
          </w:tcPr>
          <w:p w14:paraId="5D84C8F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主导方</w:t>
            </w:r>
          </w:p>
        </w:tc>
        <w:tc>
          <w:tcPr>
            <w:tcW w:w="4964" w:type="dxa"/>
            <w:tcBorders>
              <w:top w:val="single" w:color="auto" w:sz="4" w:space="0"/>
              <w:left w:val="nil"/>
              <w:bottom w:val="single" w:color="auto" w:sz="4" w:space="0"/>
              <w:right w:val="single" w:color="auto" w:sz="4" w:space="0"/>
            </w:tcBorders>
            <w:vAlign w:val="center"/>
          </w:tcPr>
          <w:p w14:paraId="67E053BF">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工作内容</w:t>
            </w:r>
          </w:p>
        </w:tc>
        <w:tc>
          <w:tcPr>
            <w:tcW w:w="852" w:type="dxa"/>
            <w:tcBorders>
              <w:top w:val="single" w:color="auto" w:sz="4" w:space="0"/>
              <w:left w:val="nil"/>
              <w:bottom w:val="single" w:color="auto" w:sz="4" w:space="0"/>
              <w:right w:val="single" w:color="auto" w:sz="4" w:space="0"/>
            </w:tcBorders>
            <w:vAlign w:val="center"/>
          </w:tcPr>
          <w:p w14:paraId="34DE1B3B">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课时（节）</w:t>
            </w:r>
          </w:p>
        </w:tc>
        <w:tc>
          <w:tcPr>
            <w:tcW w:w="851" w:type="dxa"/>
            <w:tcBorders>
              <w:top w:val="single" w:color="auto" w:sz="4" w:space="0"/>
              <w:left w:val="nil"/>
              <w:bottom w:val="single" w:color="auto" w:sz="4" w:space="0"/>
              <w:right w:val="single" w:color="auto" w:sz="4" w:space="0"/>
            </w:tcBorders>
            <w:vAlign w:val="center"/>
          </w:tcPr>
          <w:p w14:paraId="3401BB0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单价（元）</w:t>
            </w:r>
          </w:p>
        </w:tc>
        <w:tc>
          <w:tcPr>
            <w:tcW w:w="936" w:type="dxa"/>
            <w:tcBorders>
              <w:top w:val="single" w:color="auto" w:sz="4" w:space="0"/>
              <w:left w:val="nil"/>
              <w:bottom w:val="single" w:color="auto" w:sz="4" w:space="0"/>
              <w:right w:val="single" w:color="auto" w:sz="4" w:space="0"/>
            </w:tcBorders>
            <w:vAlign w:val="center"/>
          </w:tcPr>
          <w:p w14:paraId="411D2525">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金额（元）</w:t>
            </w:r>
          </w:p>
        </w:tc>
      </w:tr>
      <w:tr w14:paraId="75D8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4" w:type="dxa"/>
            <w:tcBorders>
              <w:top w:val="single" w:color="auto" w:sz="4" w:space="0"/>
              <w:left w:val="single" w:color="auto" w:sz="4" w:space="0"/>
              <w:bottom w:val="single" w:color="auto" w:sz="4" w:space="0"/>
              <w:right w:val="single" w:color="auto" w:sz="4" w:space="0"/>
            </w:tcBorders>
            <w:vAlign w:val="center"/>
          </w:tcPr>
          <w:p w14:paraId="0312780D">
            <w:pPr>
              <w:adjustRightInd w:val="0"/>
              <w:snapToGrid w:val="0"/>
              <w:spacing w:line="320" w:lineRule="exact"/>
              <w:jc w:val="center"/>
              <w:rPr>
                <w:rFonts w:asciiTheme="minorEastAsia" w:hAnsiTheme="minorEastAsia" w:eastAsiaTheme="minorEastAsia"/>
                <w:color w:val="auto"/>
                <w:szCs w:val="21"/>
              </w:rPr>
            </w:pPr>
            <w:bookmarkStart w:id="6" w:name="_Hlk194315318"/>
            <w:bookmarkStart w:id="7" w:name="_Hlk194310996"/>
            <w:bookmarkStart w:id="8" w:name="_Hlk194309323"/>
            <w:r>
              <w:rPr>
                <w:rFonts w:hint="eastAsia" w:asciiTheme="minorEastAsia" w:hAnsiTheme="minorEastAsia" w:eastAsiaTheme="minorEastAsia"/>
                <w:color w:val="auto"/>
                <w:szCs w:val="21"/>
              </w:rPr>
              <w:t>1</w:t>
            </w:r>
          </w:p>
        </w:tc>
        <w:tc>
          <w:tcPr>
            <w:tcW w:w="766" w:type="dxa"/>
            <w:tcBorders>
              <w:top w:val="single" w:color="auto" w:sz="4" w:space="0"/>
              <w:left w:val="nil"/>
              <w:bottom w:val="single" w:color="auto" w:sz="4" w:space="0"/>
              <w:right w:val="single" w:color="auto" w:sz="4" w:space="0"/>
            </w:tcBorders>
            <w:vAlign w:val="center"/>
          </w:tcPr>
          <w:p w14:paraId="6B56B050">
            <w:pPr>
              <w:adjustRightInd w:val="0"/>
              <w:snapToGrid w:val="0"/>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收集信息资料</w:t>
            </w:r>
          </w:p>
        </w:tc>
        <w:tc>
          <w:tcPr>
            <w:tcW w:w="664" w:type="dxa"/>
            <w:tcBorders>
              <w:top w:val="single" w:color="auto" w:sz="4" w:space="0"/>
              <w:left w:val="nil"/>
              <w:bottom w:val="single" w:color="auto" w:sz="4" w:space="0"/>
              <w:right w:val="single" w:color="auto" w:sz="4" w:space="0"/>
            </w:tcBorders>
            <w:vAlign w:val="center"/>
          </w:tcPr>
          <w:p w14:paraId="206EC0DE">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672F5A9B">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66EC5570">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根据项目需要，</w:t>
            </w:r>
            <w:bookmarkStart w:id="9" w:name="OLE_LINK12"/>
            <w:bookmarkStart w:id="10" w:name="OLE_LINK13"/>
            <w:r>
              <w:rPr>
                <w:rFonts w:hint="eastAsia" w:asciiTheme="minorEastAsia" w:hAnsiTheme="minorEastAsia" w:eastAsiaTheme="minorEastAsia"/>
                <w:color w:val="auto"/>
                <w:szCs w:val="21"/>
              </w:rPr>
              <w:t>项目</w:t>
            </w:r>
            <w:bookmarkEnd w:id="9"/>
            <w:bookmarkEnd w:id="10"/>
            <w:r>
              <w:rPr>
                <w:rFonts w:hint="eastAsia" w:asciiTheme="minorEastAsia" w:hAnsiTheme="minorEastAsia" w:eastAsiaTheme="minorEastAsia"/>
                <w:color w:val="auto"/>
                <w:szCs w:val="21"/>
              </w:rPr>
              <w:t>团收集以下两方面的信息或资料：（1）调研群体基础信息；（2)院部、专业和专业群等资料及双高建设方案及任务书、专业群培养方案等。</w:t>
            </w:r>
          </w:p>
        </w:tc>
        <w:tc>
          <w:tcPr>
            <w:tcW w:w="852" w:type="dxa"/>
            <w:tcBorders>
              <w:top w:val="single" w:color="auto" w:sz="4" w:space="0"/>
              <w:left w:val="nil"/>
              <w:bottom w:val="single" w:color="auto" w:sz="4" w:space="0"/>
              <w:right w:val="single" w:color="auto" w:sz="4" w:space="0"/>
            </w:tcBorders>
            <w:vAlign w:val="center"/>
          </w:tcPr>
          <w:p w14:paraId="51A859D8">
            <w:pPr>
              <w:adjustRightInd w:val="0"/>
              <w:snapToGrid w:val="0"/>
              <w:spacing w:line="320" w:lineRule="exact"/>
              <w:jc w:val="center"/>
              <w:rPr>
                <w:rFonts w:ascii="宋体" w:hAnsi="宋体"/>
                <w:color w:val="auto"/>
                <w:szCs w:val="21"/>
              </w:rPr>
            </w:pPr>
            <w:r>
              <w:rPr>
                <w:rFonts w:hint="eastAsia" w:ascii="宋体" w:hAnsi="宋体"/>
                <w:color w:val="auto"/>
              </w:rPr>
              <w:t>2</w:t>
            </w:r>
            <w:r>
              <w:rPr>
                <w:rFonts w:ascii="宋体" w:hAnsi="宋体"/>
                <w:color w:val="auto"/>
              </w:rPr>
              <w:t>0</w:t>
            </w:r>
          </w:p>
        </w:tc>
        <w:tc>
          <w:tcPr>
            <w:tcW w:w="851" w:type="dxa"/>
            <w:tcBorders>
              <w:top w:val="single" w:color="auto" w:sz="4" w:space="0"/>
              <w:left w:val="nil"/>
              <w:bottom w:val="single" w:color="auto" w:sz="4" w:space="0"/>
              <w:right w:val="single" w:color="auto" w:sz="4" w:space="0"/>
            </w:tcBorders>
            <w:vAlign w:val="center"/>
          </w:tcPr>
          <w:p w14:paraId="4A0D6478">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57C359D7">
            <w:pPr>
              <w:adjustRightInd w:val="0"/>
              <w:snapToGrid w:val="0"/>
              <w:spacing w:line="320" w:lineRule="exact"/>
              <w:jc w:val="center"/>
              <w:rPr>
                <w:rFonts w:ascii="宋体" w:hAnsi="宋体"/>
                <w:color w:val="auto"/>
                <w:szCs w:val="21"/>
              </w:rPr>
            </w:pPr>
            <w:r>
              <w:rPr>
                <w:rFonts w:hint="eastAsia" w:ascii="宋体" w:hAnsi="宋体"/>
                <w:color w:val="auto"/>
              </w:rPr>
              <w:t>2</w:t>
            </w:r>
            <w:r>
              <w:rPr>
                <w:rFonts w:ascii="宋体" w:hAnsi="宋体"/>
                <w:color w:val="auto"/>
              </w:rPr>
              <w:t>000</w:t>
            </w:r>
          </w:p>
        </w:tc>
      </w:tr>
      <w:bookmarkEnd w:id="6"/>
      <w:bookmarkEnd w:id="7"/>
      <w:bookmarkEnd w:id="8"/>
      <w:tr w14:paraId="6188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14" w:type="dxa"/>
            <w:tcBorders>
              <w:top w:val="single" w:color="auto" w:sz="4" w:space="0"/>
              <w:left w:val="single" w:color="auto" w:sz="4" w:space="0"/>
              <w:bottom w:val="single" w:color="auto" w:sz="4" w:space="0"/>
              <w:right w:val="single" w:color="auto" w:sz="4" w:space="0"/>
            </w:tcBorders>
            <w:vAlign w:val="center"/>
          </w:tcPr>
          <w:p w14:paraId="69F5B387">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766" w:type="dxa"/>
            <w:tcBorders>
              <w:top w:val="single" w:color="auto" w:sz="4" w:space="0"/>
              <w:left w:val="nil"/>
              <w:bottom w:val="single" w:color="auto" w:sz="4" w:space="0"/>
              <w:right w:val="single" w:color="auto" w:sz="4" w:space="0"/>
            </w:tcBorders>
            <w:vAlign w:val="center"/>
          </w:tcPr>
          <w:p w14:paraId="4DEE222C">
            <w:pPr>
              <w:adjustRightInd w:val="0"/>
              <w:snapToGrid w:val="0"/>
              <w:spacing w:line="32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开发调查问卷</w:t>
            </w:r>
          </w:p>
        </w:tc>
        <w:tc>
          <w:tcPr>
            <w:tcW w:w="664" w:type="dxa"/>
            <w:tcBorders>
              <w:top w:val="single" w:color="auto" w:sz="4" w:space="0"/>
              <w:left w:val="nil"/>
              <w:bottom w:val="single" w:color="auto" w:sz="4" w:space="0"/>
              <w:right w:val="single" w:color="auto" w:sz="4" w:space="0"/>
            </w:tcBorders>
            <w:vAlign w:val="center"/>
          </w:tcPr>
          <w:p w14:paraId="1DE1E4D4">
            <w:pPr>
              <w:adjustRightInd w:val="0"/>
              <w:snapToGrid w:val="0"/>
              <w:spacing w:line="320" w:lineRule="exact"/>
              <w:jc w:val="center"/>
              <w:rPr>
                <w:rFonts w:asciiTheme="minorEastAsia" w:hAnsiTheme="minorEastAsia" w:eastAsiaTheme="minorEastAsia"/>
                <w:color w:val="auto"/>
                <w:szCs w:val="21"/>
              </w:rPr>
            </w:pPr>
            <w:bookmarkStart w:id="11" w:name="OLE_LINK8"/>
            <w:r>
              <w:rPr>
                <w:rFonts w:hint="eastAsia" w:asciiTheme="minorEastAsia" w:hAnsiTheme="minorEastAsia" w:eastAsiaTheme="minorEastAsia"/>
                <w:color w:val="auto"/>
                <w:szCs w:val="21"/>
              </w:rPr>
              <w:t>企业+</w:t>
            </w:r>
          </w:p>
          <w:p w14:paraId="61E68DBA">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bookmarkEnd w:id="11"/>
          </w:p>
        </w:tc>
        <w:tc>
          <w:tcPr>
            <w:tcW w:w="4964" w:type="dxa"/>
            <w:tcBorders>
              <w:top w:val="single" w:color="auto" w:sz="4" w:space="0"/>
              <w:left w:val="nil"/>
              <w:bottom w:val="single" w:color="auto" w:sz="4" w:space="0"/>
              <w:right w:val="single" w:color="auto" w:sz="4" w:space="0"/>
            </w:tcBorders>
            <w:vAlign w:val="center"/>
          </w:tcPr>
          <w:p w14:paraId="77C4A1C7">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根据第三方调研指标体系和调研报告大纲，开发在校生、毕业生、教职工、用人单位和学生家长学校层面 8个一级指标建设质量和3个专业群满意度评价调查问卷。</w:t>
            </w:r>
          </w:p>
        </w:tc>
        <w:tc>
          <w:tcPr>
            <w:tcW w:w="852" w:type="dxa"/>
            <w:tcBorders>
              <w:top w:val="single" w:color="auto" w:sz="4" w:space="0"/>
              <w:left w:val="nil"/>
              <w:bottom w:val="single" w:color="auto" w:sz="4" w:space="0"/>
              <w:right w:val="single" w:color="auto" w:sz="4" w:space="0"/>
            </w:tcBorders>
            <w:vAlign w:val="center"/>
          </w:tcPr>
          <w:p w14:paraId="4AED411B">
            <w:pPr>
              <w:adjustRightInd w:val="0"/>
              <w:snapToGrid w:val="0"/>
              <w:spacing w:line="320" w:lineRule="exact"/>
              <w:jc w:val="center"/>
              <w:rPr>
                <w:rFonts w:ascii="宋体" w:hAnsi="宋体"/>
                <w:color w:val="auto"/>
                <w:szCs w:val="21"/>
              </w:rPr>
            </w:pPr>
            <w:r>
              <w:rPr>
                <w:rFonts w:hint="eastAsia" w:ascii="宋体" w:hAnsi="宋体"/>
                <w:color w:val="auto"/>
              </w:rPr>
              <w:t>8</w:t>
            </w:r>
            <w:r>
              <w:rPr>
                <w:rFonts w:ascii="宋体" w:hAnsi="宋体"/>
                <w:color w:val="auto"/>
              </w:rPr>
              <w:t>0</w:t>
            </w:r>
          </w:p>
        </w:tc>
        <w:tc>
          <w:tcPr>
            <w:tcW w:w="851" w:type="dxa"/>
            <w:tcBorders>
              <w:top w:val="single" w:color="auto" w:sz="4" w:space="0"/>
              <w:left w:val="nil"/>
              <w:bottom w:val="single" w:color="auto" w:sz="4" w:space="0"/>
              <w:right w:val="single" w:color="auto" w:sz="4" w:space="0"/>
            </w:tcBorders>
            <w:vAlign w:val="center"/>
          </w:tcPr>
          <w:p w14:paraId="4B00215E">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0D48643D">
            <w:pPr>
              <w:adjustRightInd w:val="0"/>
              <w:snapToGrid w:val="0"/>
              <w:spacing w:line="320" w:lineRule="exact"/>
              <w:jc w:val="center"/>
              <w:rPr>
                <w:rFonts w:ascii="宋体" w:hAnsi="宋体"/>
                <w:color w:val="auto"/>
                <w:szCs w:val="21"/>
              </w:rPr>
            </w:pPr>
            <w:r>
              <w:rPr>
                <w:rFonts w:hint="eastAsia" w:ascii="宋体" w:hAnsi="宋体"/>
                <w:color w:val="auto"/>
              </w:rPr>
              <w:t>8</w:t>
            </w:r>
            <w:r>
              <w:rPr>
                <w:rFonts w:ascii="宋体" w:hAnsi="宋体"/>
                <w:color w:val="auto"/>
              </w:rPr>
              <w:t>000</w:t>
            </w:r>
          </w:p>
        </w:tc>
      </w:tr>
      <w:tr w14:paraId="5935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4" w:type="dxa"/>
            <w:vMerge w:val="restart"/>
            <w:tcBorders>
              <w:left w:val="single" w:color="auto" w:sz="4" w:space="0"/>
              <w:right w:val="single" w:color="auto" w:sz="4" w:space="0"/>
            </w:tcBorders>
            <w:vAlign w:val="center"/>
          </w:tcPr>
          <w:p w14:paraId="332343D6">
            <w:pPr>
              <w:adjustRightInd w:val="0"/>
              <w:snapToGrid w:val="0"/>
              <w:spacing w:line="320" w:lineRule="exact"/>
              <w:jc w:val="center"/>
              <w:rPr>
                <w:rFonts w:asciiTheme="minorEastAsia" w:hAnsiTheme="minorEastAsia" w:eastAsiaTheme="minorEastAsia"/>
                <w:color w:val="auto"/>
                <w:szCs w:val="21"/>
              </w:rPr>
            </w:pPr>
            <w:bookmarkStart w:id="12" w:name="_Hlk194314629"/>
            <w:r>
              <w:rPr>
                <w:rFonts w:hint="eastAsia" w:asciiTheme="minorEastAsia" w:hAnsiTheme="minorEastAsia" w:eastAsiaTheme="minorEastAsia"/>
                <w:color w:val="auto"/>
                <w:szCs w:val="21"/>
              </w:rPr>
              <w:t>3</w:t>
            </w:r>
          </w:p>
        </w:tc>
        <w:tc>
          <w:tcPr>
            <w:tcW w:w="766" w:type="dxa"/>
            <w:vMerge w:val="restart"/>
            <w:tcBorders>
              <w:left w:val="nil"/>
              <w:right w:val="single" w:color="auto" w:sz="4" w:space="0"/>
            </w:tcBorders>
            <w:vAlign w:val="center"/>
          </w:tcPr>
          <w:p w14:paraId="4E615D6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问卷测试与调研实施</w:t>
            </w:r>
          </w:p>
        </w:tc>
        <w:tc>
          <w:tcPr>
            <w:tcW w:w="664" w:type="dxa"/>
            <w:vMerge w:val="restart"/>
            <w:tcBorders>
              <w:left w:val="nil"/>
              <w:right w:val="single" w:color="auto" w:sz="4" w:space="0"/>
            </w:tcBorders>
            <w:vAlign w:val="center"/>
          </w:tcPr>
          <w:p w14:paraId="4C0C2FF8">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2D153B3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4AFC5F3C">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在全校开展“加强党的领导”质量评价：</w:t>
            </w:r>
          </w:p>
          <w:p w14:paraId="3DE11F5F">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（1）加强党的建设；</w:t>
            </w:r>
          </w:p>
          <w:p w14:paraId="0CCAEDFD">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（2）健全内部治理。</w:t>
            </w:r>
          </w:p>
        </w:tc>
        <w:tc>
          <w:tcPr>
            <w:tcW w:w="852" w:type="dxa"/>
            <w:tcBorders>
              <w:top w:val="single" w:color="auto" w:sz="4" w:space="0"/>
              <w:left w:val="nil"/>
              <w:bottom w:val="single" w:color="auto" w:sz="4" w:space="0"/>
              <w:right w:val="single" w:color="auto" w:sz="4" w:space="0"/>
            </w:tcBorders>
            <w:vAlign w:val="center"/>
          </w:tcPr>
          <w:p w14:paraId="204A1FCE">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7861A011">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37C04421">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bookmarkEnd w:id="12"/>
      <w:tr w14:paraId="746D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14" w:type="dxa"/>
            <w:vMerge w:val="continue"/>
            <w:tcBorders>
              <w:left w:val="single" w:color="auto" w:sz="4" w:space="0"/>
              <w:right w:val="single" w:color="auto" w:sz="4" w:space="0"/>
            </w:tcBorders>
            <w:vAlign w:val="center"/>
          </w:tcPr>
          <w:p w14:paraId="4556D8B7">
            <w:pPr>
              <w:adjustRightInd w:val="0"/>
              <w:snapToGrid w:val="0"/>
              <w:spacing w:line="320" w:lineRule="exact"/>
              <w:jc w:val="center"/>
              <w:rPr>
                <w:rFonts w:asciiTheme="minorEastAsia" w:hAnsiTheme="minorEastAsia" w:eastAsiaTheme="minorEastAsia"/>
                <w:color w:val="auto"/>
                <w:szCs w:val="21"/>
              </w:rPr>
            </w:pPr>
            <w:bookmarkStart w:id="13" w:name="_Hlk194311888"/>
          </w:p>
        </w:tc>
        <w:tc>
          <w:tcPr>
            <w:tcW w:w="766" w:type="dxa"/>
            <w:vMerge w:val="continue"/>
            <w:tcBorders>
              <w:left w:val="nil"/>
              <w:right w:val="single" w:color="auto" w:sz="4" w:space="0"/>
            </w:tcBorders>
            <w:vAlign w:val="center"/>
          </w:tcPr>
          <w:p w14:paraId="505B22C0">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5924B40F">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1CD782C4">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在全校开展“建设德技并修育人体系”质量评价：</w:t>
            </w:r>
          </w:p>
          <w:p w14:paraId="70B93F20">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（1）“三全育人”改革；</w:t>
            </w:r>
          </w:p>
          <w:p w14:paraId="3485094C">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（2）思想政治教育；</w:t>
            </w:r>
          </w:p>
          <w:p w14:paraId="2F7E377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（3）校企协同育人；</w:t>
            </w:r>
          </w:p>
          <w:p w14:paraId="0A117C9D">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（4）创新创业教育。</w:t>
            </w:r>
          </w:p>
        </w:tc>
        <w:tc>
          <w:tcPr>
            <w:tcW w:w="852" w:type="dxa"/>
            <w:tcBorders>
              <w:top w:val="single" w:color="auto" w:sz="4" w:space="0"/>
              <w:left w:val="nil"/>
              <w:bottom w:val="single" w:color="auto" w:sz="4" w:space="0"/>
              <w:right w:val="single" w:color="auto" w:sz="4" w:space="0"/>
            </w:tcBorders>
            <w:vAlign w:val="center"/>
          </w:tcPr>
          <w:p w14:paraId="662AE16F">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1F189020">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279EE2D3">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bookmarkEnd w:id="13"/>
      <w:tr w14:paraId="0CB9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14" w:type="dxa"/>
            <w:vMerge w:val="continue"/>
            <w:tcBorders>
              <w:left w:val="single" w:color="auto" w:sz="4" w:space="0"/>
              <w:right w:val="single" w:color="auto" w:sz="4" w:space="0"/>
            </w:tcBorders>
            <w:vAlign w:val="center"/>
          </w:tcPr>
          <w:p w14:paraId="7059DC6A">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right w:val="single" w:color="auto" w:sz="4" w:space="0"/>
            </w:tcBorders>
            <w:vAlign w:val="center"/>
          </w:tcPr>
          <w:p w14:paraId="71995498">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31809D5D">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29877384">
            <w:pPr>
              <w:adjustRightInd w:val="0"/>
              <w:snapToGrid w:val="0"/>
              <w:spacing w:line="320" w:lineRule="exact"/>
              <w:rPr>
                <w:rFonts w:asciiTheme="minorEastAsia" w:hAnsiTheme="minorEastAsia" w:eastAsiaTheme="minorEastAsia"/>
                <w:color w:val="auto"/>
                <w:szCs w:val="21"/>
              </w:rPr>
            </w:pPr>
            <w:bookmarkStart w:id="14" w:name="OLE_LINK24"/>
            <w:bookmarkStart w:id="15" w:name="OLE_LINK25"/>
            <w:r>
              <w:rPr>
                <w:rFonts w:hint="eastAsia" w:asciiTheme="minorEastAsia" w:hAnsiTheme="minorEastAsia" w:eastAsiaTheme="minorEastAsia"/>
                <w:color w:val="auto"/>
                <w:szCs w:val="21"/>
              </w:rPr>
              <w:t>在全校开展“建设高水平师资队伍”质量评价</w:t>
            </w:r>
            <w:bookmarkEnd w:id="14"/>
            <w:bookmarkEnd w:id="15"/>
            <w:r>
              <w:rPr>
                <w:rFonts w:hint="eastAsia" w:asciiTheme="minorEastAsia" w:hAnsiTheme="minorEastAsia" w:eastAsiaTheme="minorEastAsia"/>
                <w:color w:val="auto"/>
                <w:szCs w:val="21"/>
              </w:rPr>
              <w:t>：</w:t>
            </w:r>
          </w:p>
          <w:p w14:paraId="7D17FC80">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（1）师德师风；</w:t>
            </w:r>
          </w:p>
          <w:p w14:paraId="42BAC455">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（2）高水平师资队伍；</w:t>
            </w:r>
          </w:p>
          <w:p w14:paraId="19A47926">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（3）教师发展支持。</w:t>
            </w:r>
          </w:p>
        </w:tc>
        <w:tc>
          <w:tcPr>
            <w:tcW w:w="852" w:type="dxa"/>
            <w:tcBorders>
              <w:top w:val="single" w:color="auto" w:sz="4" w:space="0"/>
              <w:left w:val="nil"/>
              <w:bottom w:val="single" w:color="auto" w:sz="4" w:space="0"/>
              <w:right w:val="single" w:color="auto" w:sz="4" w:space="0"/>
            </w:tcBorders>
            <w:vAlign w:val="center"/>
          </w:tcPr>
          <w:p w14:paraId="3302FB50">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11748F1D">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1E73231A">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tr w14:paraId="11E9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14" w:type="dxa"/>
            <w:vMerge w:val="continue"/>
            <w:tcBorders>
              <w:left w:val="single" w:color="auto" w:sz="4" w:space="0"/>
              <w:right w:val="single" w:color="auto" w:sz="4" w:space="0"/>
            </w:tcBorders>
            <w:vAlign w:val="center"/>
          </w:tcPr>
          <w:p w14:paraId="13458122">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right w:val="single" w:color="auto" w:sz="4" w:space="0"/>
            </w:tcBorders>
            <w:vAlign w:val="center"/>
          </w:tcPr>
          <w:p w14:paraId="07BDAA70">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7AACE304">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770FE7B7">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在全校开展“推进专业集群发展”质量评价：</w:t>
            </w:r>
          </w:p>
          <w:p w14:paraId="44F4687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（1）对接区域及产业；</w:t>
            </w:r>
          </w:p>
          <w:p w14:paraId="1D9CB515">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（2）就业质量；</w:t>
            </w:r>
          </w:p>
          <w:p w14:paraId="6FB6CA12">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（3）校企合作共建实践基地；</w:t>
            </w:r>
          </w:p>
          <w:p w14:paraId="04C29B9B">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（4）课程与教学。</w:t>
            </w:r>
          </w:p>
        </w:tc>
        <w:tc>
          <w:tcPr>
            <w:tcW w:w="852" w:type="dxa"/>
            <w:tcBorders>
              <w:top w:val="single" w:color="auto" w:sz="4" w:space="0"/>
              <w:left w:val="nil"/>
              <w:bottom w:val="single" w:color="auto" w:sz="4" w:space="0"/>
              <w:right w:val="single" w:color="auto" w:sz="4" w:space="0"/>
            </w:tcBorders>
            <w:vAlign w:val="center"/>
          </w:tcPr>
          <w:p w14:paraId="4ECF497F">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7FB2F303">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6B44A928">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tr w14:paraId="5A5F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4" w:type="dxa"/>
            <w:vMerge w:val="continue"/>
            <w:tcBorders>
              <w:left w:val="single" w:color="auto" w:sz="4" w:space="0"/>
              <w:right w:val="single" w:color="auto" w:sz="4" w:space="0"/>
            </w:tcBorders>
            <w:vAlign w:val="center"/>
          </w:tcPr>
          <w:p w14:paraId="238752D7">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right w:val="single" w:color="auto" w:sz="4" w:space="0"/>
            </w:tcBorders>
            <w:vAlign w:val="center"/>
          </w:tcPr>
          <w:p w14:paraId="0952B499">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42707D7B">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53DA9695">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在全校开展“推进新型基础设施建设”质量评价：</w:t>
            </w:r>
          </w:p>
          <w:p w14:paraId="293847AC">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（1）智慧校园建设；</w:t>
            </w:r>
          </w:p>
          <w:p w14:paraId="5940215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（2）信息化教学；</w:t>
            </w:r>
          </w:p>
          <w:p w14:paraId="7D2286B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（3）设备资源。</w:t>
            </w:r>
          </w:p>
        </w:tc>
        <w:tc>
          <w:tcPr>
            <w:tcW w:w="852" w:type="dxa"/>
            <w:tcBorders>
              <w:top w:val="single" w:color="auto" w:sz="4" w:space="0"/>
              <w:left w:val="nil"/>
              <w:bottom w:val="single" w:color="auto" w:sz="4" w:space="0"/>
              <w:right w:val="single" w:color="auto" w:sz="4" w:space="0"/>
            </w:tcBorders>
            <w:vAlign w:val="center"/>
          </w:tcPr>
          <w:p w14:paraId="21AE104B">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606CE599">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1391554C">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tr w14:paraId="6701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14" w:type="dxa"/>
            <w:vMerge w:val="restart"/>
            <w:tcBorders>
              <w:left w:val="single" w:color="auto" w:sz="4" w:space="0"/>
              <w:right w:val="single" w:color="auto" w:sz="4" w:space="0"/>
            </w:tcBorders>
            <w:vAlign w:val="center"/>
          </w:tcPr>
          <w:p w14:paraId="7D6DD4F1">
            <w:pPr>
              <w:adjustRightInd w:val="0"/>
              <w:snapToGrid w:val="0"/>
              <w:spacing w:line="320" w:lineRule="exact"/>
              <w:jc w:val="center"/>
              <w:rPr>
                <w:rFonts w:asciiTheme="minorEastAsia" w:hAnsiTheme="minorEastAsia" w:eastAsiaTheme="minorEastAsia"/>
                <w:color w:val="auto"/>
                <w:szCs w:val="21"/>
              </w:rPr>
            </w:pPr>
            <w:bookmarkStart w:id="16" w:name="_Hlk194314887"/>
            <w:r>
              <w:rPr>
                <w:rFonts w:hint="eastAsia" w:asciiTheme="minorEastAsia" w:hAnsiTheme="minorEastAsia" w:eastAsiaTheme="minorEastAsia"/>
                <w:color w:val="auto"/>
                <w:szCs w:val="21"/>
              </w:rPr>
              <w:t>3</w:t>
            </w:r>
          </w:p>
        </w:tc>
        <w:tc>
          <w:tcPr>
            <w:tcW w:w="766" w:type="dxa"/>
            <w:vMerge w:val="restart"/>
            <w:tcBorders>
              <w:left w:val="nil"/>
              <w:right w:val="single" w:color="auto" w:sz="4" w:space="0"/>
            </w:tcBorders>
            <w:vAlign w:val="center"/>
          </w:tcPr>
          <w:p w14:paraId="76BFC8D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问卷测试与调研实施</w:t>
            </w:r>
          </w:p>
        </w:tc>
        <w:tc>
          <w:tcPr>
            <w:tcW w:w="664" w:type="dxa"/>
            <w:vMerge w:val="restart"/>
            <w:tcBorders>
              <w:left w:val="nil"/>
              <w:right w:val="single" w:color="auto" w:sz="4" w:space="0"/>
            </w:tcBorders>
            <w:vAlign w:val="center"/>
          </w:tcPr>
          <w:p w14:paraId="451B12B6">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20606ACC">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12270332">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在全校开展“提升科技创新能力”质量评价：</w:t>
            </w:r>
          </w:p>
          <w:p w14:paraId="01DF42AB">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（1）科技创新平台；</w:t>
            </w:r>
          </w:p>
          <w:p w14:paraId="00493069">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（2）科技创新服务。</w:t>
            </w:r>
          </w:p>
        </w:tc>
        <w:tc>
          <w:tcPr>
            <w:tcW w:w="852" w:type="dxa"/>
            <w:tcBorders>
              <w:top w:val="single" w:color="auto" w:sz="4" w:space="0"/>
              <w:left w:val="nil"/>
              <w:bottom w:val="single" w:color="auto" w:sz="4" w:space="0"/>
              <w:right w:val="single" w:color="auto" w:sz="4" w:space="0"/>
            </w:tcBorders>
            <w:vAlign w:val="center"/>
          </w:tcPr>
          <w:p w14:paraId="7FDDF8CA">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0598F9A1">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39E72E31">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tr w14:paraId="6771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414" w:type="dxa"/>
            <w:vMerge w:val="continue"/>
            <w:tcBorders>
              <w:left w:val="single" w:color="auto" w:sz="4" w:space="0"/>
              <w:right w:val="single" w:color="auto" w:sz="4" w:space="0"/>
            </w:tcBorders>
            <w:vAlign w:val="center"/>
          </w:tcPr>
          <w:p w14:paraId="66CDB511">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right w:val="single" w:color="auto" w:sz="4" w:space="0"/>
            </w:tcBorders>
            <w:vAlign w:val="center"/>
          </w:tcPr>
          <w:p w14:paraId="3AB4E4ED">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682FCD40">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69166338">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在全校开展“提升社会服务能力”质量评价：</w:t>
            </w:r>
          </w:p>
          <w:p w14:paraId="72E8428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（1）就业质量及职业发展；</w:t>
            </w:r>
          </w:p>
          <w:p w14:paraId="5E6F194B">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（2）服务区域发展；</w:t>
            </w:r>
          </w:p>
          <w:p w14:paraId="4DA3E7D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（3）服务行业产业发展；</w:t>
            </w:r>
          </w:p>
          <w:p w14:paraId="4A3CDD76">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（4）服务社会培训；</w:t>
            </w:r>
          </w:p>
          <w:p w14:paraId="6950AD00">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（5）服务乡村振兴。</w:t>
            </w:r>
          </w:p>
        </w:tc>
        <w:tc>
          <w:tcPr>
            <w:tcW w:w="852" w:type="dxa"/>
            <w:tcBorders>
              <w:top w:val="single" w:color="auto" w:sz="4" w:space="0"/>
              <w:left w:val="nil"/>
              <w:bottom w:val="single" w:color="auto" w:sz="4" w:space="0"/>
              <w:right w:val="single" w:color="auto" w:sz="4" w:space="0"/>
            </w:tcBorders>
            <w:vAlign w:val="center"/>
          </w:tcPr>
          <w:p w14:paraId="37211306">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10659461">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0623594B">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tr w14:paraId="5192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4" w:type="dxa"/>
            <w:vMerge w:val="continue"/>
            <w:tcBorders>
              <w:left w:val="single" w:color="auto" w:sz="4" w:space="0"/>
              <w:right w:val="single" w:color="auto" w:sz="4" w:space="0"/>
            </w:tcBorders>
            <w:vAlign w:val="center"/>
          </w:tcPr>
          <w:p w14:paraId="03F50309">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right w:val="single" w:color="auto" w:sz="4" w:space="0"/>
            </w:tcBorders>
            <w:vAlign w:val="center"/>
          </w:tcPr>
          <w:p w14:paraId="7041CB95">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2AF48DDB">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4DFCADDE">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在全校开展“</w:t>
            </w:r>
            <w:r>
              <w:rPr>
                <w:rFonts w:hint="eastAsia" w:asciiTheme="minorEastAsia" w:hAnsiTheme="minorEastAsia" w:eastAsiaTheme="minorEastAsia"/>
                <w:color w:val="auto"/>
                <w:spacing w:val="-6"/>
                <w:szCs w:val="21"/>
              </w:rPr>
              <w:t>提升国际化水平</w:t>
            </w:r>
            <w:r>
              <w:rPr>
                <w:rFonts w:hint="eastAsia" w:asciiTheme="minorEastAsia" w:hAnsiTheme="minorEastAsia" w:eastAsiaTheme="minorEastAsia"/>
                <w:color w:val="auto"/>
                <w:szCs w:val="21"/>
              </w:rPr>
              <w:t>”质量评价：</w:t>
            </w:r>
          </w:p>
          <w:p w14:paraId="596C2FA9">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（1）学校的国际化程度；</w:t>
            </w:r>
          </w:p>
          <w:p w14:paraId="5E6A766A">
            <w:pPr>
              <w:adjustRightInd w:val="0"/>
              <w:snapToGrid w:val="0"/>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（2）学校的国际化水平。</w:t>
            </w:r>
          </w:p>
        </w:tc>
        <w:tc>
          <w:tcPr>
            <w:tcW w:w="852" w:type="dxa"/>
            <w:tcBorders>
              <w:top w:val="single" w:color="auto" w:sz="4" w:space="0"/>
              <w:left w:val="nil"/>
              <w:bottom w:val="single" w:color="auto" w:sz="4" w:space="0"/>
              <w:right w:val="single" w:color="auto" w:sz="4" w:space="0"/>
            </w:tcBorders>
            <w:vAlign w:val="center"/>
          </w:tcPr>
          <w:p w14:paraId="33B189B5">
            <w:pPr>
              <w:adjustRightInd w:val="0"/>
              <w:snapToGrid w:val="0"/>
              <w:spacing w:line="320" w:lineRule="exact"/>
              <w:jc w:val="center"/>
              <w:rPr>
                <w:rFonts w:ascii="宋体" w:hAnsi="宋体"/>
                <w:color w:val="auto"/>
                <w:szCs w:val="21"/>
              </w:rPr>
            </w:pPr>
            <w:r>
              <w:rPr>
                <w:rFonts w:hint="eastAsia" w:ascii="宋体" w:hAnsi="宋体"/>
                <w:color w:val="auto"/>
              </w:rPr>
              <w:t>100</w:t>
            </w:r>
          </w:p>
        </w:tc>
        <w:tc>
          <w:tcPr>
            <w:tcW w:w="851" w:type="dxa"/>
            <w:tcBorders>
              <w:top w:val="single" w:color="auto" w:sz="4" w:space="0"/>
              <w:left w:val="nil"/>
              <w:bottom w:val="single" w:color="auto" w:sz="4" w:space="0"/>
              <w:right w:val="single" w:color="auto" w:sz="4" w:space="0"/>
            </w:tcBorders>
            <w:vAlign w:val="center"/>
          </w:tcPr>
          <w:p w14:paraId="7CC04D66">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3A06EF7D">
            <w:pPr>
              <w:adjustRightInd w:val="0"/>
              <w:snapToGrid w:val="0"/>
              <w:spacing w:line="320" w:lineRule="exact"/>
              <w:jc w:val="center"/>
              <w:rPr>
                <w:rFonts w:ascii="宋体" w:hAnsi="宋体"/>
                <w:color w:val="auto"/>
                <w:szCs w:val="21"/>
              </w:rPr>
            </w:pPr>
            <w:r>
              <w:rPr>
                <w:rFonts w:hint="eastAsia" w:ascii="宋体" w:hAnsi="宋体"/>
                <w:color w:val="auto"/>
              </w:rPr>
              <w:t>100</w:t>
            </w:r>
            <w:r>
              <w:rPr>
                <w:rFonts w:ascii="宋体" w:hAnsi="宋体"/>
                <w:color w:val="auto"/>
              </w:rPr>
              <w:t>00</w:t>
            </w:r>
          </w:p>
        </w:tc>
      </w:tr>
      <w:tr w14:paraId="3F87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4" w:type="dxa"/>
            <w:vMerge w:val="continue"/>
            <w:tcBorders>
              <w:left w:val="single" w:color="auto" w:sz="4" w:space="0"/>
              <w:right w:val="single" w:color="auto" w:sz="4" w:space="0"/>
            </w:tcBorders>
            <w:vAlign w:val="center"/>
          </w:tcPr>
          <w:p w14:paraId="5D21136F">
            <w:pPr>
              <w:adjustRightInd w:val="0"/>
              <w:snapToGrid w:val="0"/>
              <w:spacing w:line="320" w:lineRule="exact"/>
              <w:jc w:val="center"/>
              <w:rPr>
                <w:rFonts w:asciiTheme="minorEastAsia" w:hAnsiTheme="minorEastAsia" w:eastAsiaTheme="minorEastAsia"/>
                <w:color w:val="auto"/>
                <w:szCs w:val="21"/>
              </w:rPr>
            </w:pPr>
            <w:bookmarkStart w:id="17" w:name="_Hlk194315444"/>
          </w:p>
        </w:tc>
        <w:tc>
          <w:tcPr>
            <w:tcW w:w="766" w:type="dxa"/>
            <w:vMerge w:val="continue"/>
            <w:tcBorders>
              <w:left w:val="nil"/>
              <w:right w:val="single" w:color="auto" w:sz="4" w:space="0"/>
            </w:tcBorders>
            <w:vAlign w:val="center"/>
          </w:tcPr>
          <w:p w14:paraId="67CECC27">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678D6763">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04D33AC2">
            <w:pPr>
              <w:adjustRightInd w:val="0"/>
              <w:snapToGrid w:val="0"/>
              <w:spacing w:after="62" w:afterLines="20" w:line="320" w:lineRule="exact"/>
              <w:rPr>
                <w:rFonts w:asciiTheme="minorEastAsia" w:hAnsiTheme="minorEastAsia" w:eastAsiaTheme="minorEastAsia"/>
                <w:color w:val="auto"/>
                <w:szCs w:val="21"/>
              </w:rPr>
            </w:pPr>
            <w:bookmarkStart w:id="18" w:name="OLE_LINK31"/>
            <w:bookmarkStart w:id="19" w:name="OLE_LINK28"/>
            <w:bookmarkStart w:id="20" w:name="OLE_LINK27"/>
            <w:r>
              <w:rPr>
                <w:rFonts w:hint="eastAsia" w:asciiTheme="minorEastAsia" w:hAnsiTheme="minorEastAsia" w:eastAsiaTheme="minorEastAsia"/>
                <w:color w:val="auto"/>
                <w:szCs w:val="21"/>
              </w:rPr>
              <w:t>开展机电一体化高水平专业群服务对象满意度专项调查</w:t>
            </w:r>
            <w:bookmarkEnd w:id="18"/>
            <w:r>
              <w:rPr>
                <w:rFonts w:hint="eastAsia" w:asciiTheme="minorEastAsia" w:hAnsiTheme="minorEastAsia" w:eastAsiaTheme="minorEastAsia"/>
                <w:color w:val="auto"/>
                <w:szCs w:val="21"/>
              </w:rPr>
              <w:t>。</w:t>
            </w:r>
            <w:bookmarkEnd w:id="19"/>
            <w:bookmarkEnd w:id="20"/>
          </w:p>
        </w:tc>
        <w:tc>
          <w:tcPr>
            <w:tcW w:w="852" w:type="dxa"/>
            <w:tcBorders>
              <w:top w:val="single" w:color="auto" w:sz="4" w:space="0"/>
              <w:left w:val="nil"/>
              <w:bottom w:val="single" w:color="auto" w:sz="4" w:space="0"/>
              <w:right w:val="single" w:color="auto" w:sz="4" w:space="0"/>
            </w:tcBorders>
            <w:vAlign w:val="center"/>
          </w:tcPr>
          <w:p w14:paraId="1D67FF36">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51" w:type="dxa"/>
            <w:tcBorders>
              <w:top w:val="single" w:color="auto" w:sz="4" w:space="0"/>
              <w:left w:val="nil"/>
              <w:bottom w:val="single" w:color="auto" w:sz="4" w:space="0"/>
              <w:right w:val="single" w:color="auto" w:sz="4" w:space="0"/>
            </w:tcBorders>
            <w:vAlign w:val="center"/>
          </w:tcPr>
          <w:p w14:paraId="27EAFE4B">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16A50677">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r>
      <w:tr w14:paraId="46D2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4" w:type="dxa"/>
            <w:vMerge w:val="continue"/>
            <w:tcBorders>
              <w:left w:val="single" w:color="auto" w:sz="4" w:space="0"/>
              <w:right w:val="single" w:color="auto" w:sz="4" w:space="0"/>
            </w:tcBorders>
            <w:vAlign w:val="center"/>
          </w:tcPr>
          <w:p w14:paraId="7AA3B625">
            <w:pPr>
              <w:adjustRightInd w:val="0"/>
              <w:snapToGrid w:val="0"/>
              <w:spacing w:line="320" w:lineRule="exact"/>
              <w:jc w:val="center"/>
              <w:rPr>
                <w:rFonts w:asciiTheme="minorEastAsia" w:hAnsiTheme="minorEastAsia" w:eastAsiaTheme="minorEastAsia"/>
                <w:color w:val="auto"/>
                <w:szCs w:val="21"/>
              </w:rPr>
            </w:pPr>
            <w:bookmarkStart w:id="21" w:name="_Hlk194311910"/>
          </w:p>
        </w:tc>
        <w:tc>
          <w:tcPr>
            <w:tcW w:w="766" w:type="dxa"/>
            <w:vMerge w:val="continue"/>
            <w:tcBorders>
              <w:left w:val="nil"/>
              <w:right w:val="single" w:color="auto" w:sz="4" w:space="0"/>
            </w:tcBorders>
            <w:vAlign w:val="center"/>
          </w:tcPr>
          <w:p w14:paraId="4047A8D4">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2B697E83">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635DE428">
            <w:pPr>
              <w:adjustRightInd w:val="0"/>
              <w:snapToGrid w:val="0"/>
              <w:spacing w:after="62" w:afterLines="20" w:line="320" w:lineRule="exact"/>
              <w:rPr>
                <w:rFonts w:asciiTheme="minorEastAsia" w:hAnsiTheme="minorEastAsia" w:eastAsiaTheme="minorEastAsia"/>
                <w:color w:val="auto"/>
                <w:szCs w:val="21"/>
              </w:rPr>
            </w:pPr>
            <w:bookmarkStart w:id="22" w:name="OLE_LINK32"/>
            <w:r>
              <w:rPr>
                <w:rFonts w:hint="eastAsia" w:asciiTheme="minorEastAsia" w:hAnsiTheme="minorEastAsia" w:eastAsiaTheme="minorEastAsia"/>
                <w:color w:val="auto"/>
                <w:szCs w:val="21"/>
              </w:rPr>
              <w:t>开展农村新型经济组织管理高水平专业群服务对象满意度专项调查</w:t>
            </w:r>
            <w:bookmarkEnd w:id="22"/>
            <w:r>
              <w:rPr>
                <w:rFonts w:hint="eastAsia" w:asciiTheme="minorEastAsia" w:hAnsiTheme="minorEastAsia" w:eastAsiaTheme="minorEastAsia"/>
                <w:color w:val="auto"/>
                <w:szCs w:val="21"/>
              </w:rPr>
              <w:t>。</w:t>
            </w:r>
          </w:p>
        </w:tc>
        <w:tc>
          <w:tcPr>
            <w:tcW w:w="852" w:type="dxa"/>
            <w:tcBorders>
              <w:top w:val="single" w:color="auto" w:sz="4" w:space="0"/>
              <w:left w:val="nil"/>
              <w:bottom w:val="single" w:color="auto" w:sz="4" w:space="0"/>
              <w:right w:val="single" w:color="auto" w:sz="4" w:space="0"/>
            </w:tcBorders>
            <w:vAlign w:val="center"/>
          </w:tcPr>
          <w:p w14:paraId="2CA5C7B1">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51" w:type="dxa"/>
            <w:tcBorders>
              <w:top w:val="single" w:color="auto" w:sz="4" w:space="0"/>
              <w:left w:val="nil"/>
              <w:bottom w:val="single" w:color="auto" w:sz="4" w:space="0"/>
              <w:right w:val="single" w:color="auto" w:sz="4" w:space="0"/>
            </w:tcBorders>
            <w:vAlign w:val="center"/>
          </w:tcPr>
          <w:p w14:paraId="18C5DAF7">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65DA89DB">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r>
      <w:bookmarkEnd w:id="21"/>
      <w:tr w14:paraId="4A19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14" w:type="dxa"/>
            <w:vMerge w:val="continue"/>
            <w:tcBorders>
              <w:left w:val="single" w:color="auto" w:sz="4" w:space="0"/>
              <w:bottom w:val="single" w:color="auto" w:sz="4" w:space="0"/>
              <w:right w:val="single" w:color="auto" w:sz="4" w:space="0"/>
            </w:tcBorders>
            <w:vAlign w:val="center"/>
          </w:tcPr>
          <w:p w14:paraId="5A93B3D2">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bottom w:val="single" w:color="auto" w:sz="4" w:space="0"/>
              <w:right w:val="single" w:color="auto" w:sz="4" w:space="0"/>
            </w:tcBorders>
            <w:vAlign w:val="center"/>
          </w:tcPr>
          <w:p w14:paraId="2AFA1C70">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bottom w:val="single" w:color="auto" w:sz="4" w:space="0"/>
              <w:right w:val="single" w:color="auto" w:sz="4" w:space="0"/>
            </w:tcBorders>
            <w:vAlign w:val="center"/>
          </w:tcPr>
          <w:p w14:paraId="2ACAD3D1">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5C93EEE7">
            <w:pPr>
              <w:adjustRightInd w:val="0"/>
              <w:snapToGrid w:val="0"/>
              <w:spacing w:after="62" w:afterLines="20" w:line="320" w:lineRule="exact"/>
              <w:rPr>
                <w:rFonts w:asciiTheme="minorEastAsia" w:hAnsiTheme="minorEastAsia" w:eastAsiaTheme="minorEastAsia"/>
                <w:color w:val="auto"/>
                <w:szCs w:val="21"/>
              </w:rPr>
            </w:pPr>
            <w:bookmarkStart w:id="23" w:name="OLE_LINK21"/>
            <w:bookmarkStart w:id="24" w:name="OLE_LINK20"/>
            <w:bookmarkStart w:id="25" w:name="OLE_LINK23"/>
            <w:bookmarkStart w:id="26" w:name="OLE_LINK7"/>
            <w:bookmarkStart w:id="27" w:name="OLE_LINK29"/>
            <w:bookmarkStart w:id="28" w:name="OLE_LINK22"/>
            <w:bookmarkStart w:id="29" w:name="OLE_LINK26"/>
            <w:r>
              <w:rPr>
                <w:rFonts w:hint="eastAsia" w:asciiTheme="minorEastAsia" w:hAnsiTheme="minorEastAsia" w:eastAsiaTheme="minorEastAsia"/>
                <w:color w:val="auto"/>
                <w:szCs w:val="21"/>
              </w:rPr>
              <w:t>开展护理高水平专业群</w:t>
            </w:r>
            <w:bookmarkEnd w:id="23"/>
            <w:bookmarkEnd w:id="24"/>
            <w:r>
              <w:rPr>
                <w:rFonts w:hint="eastAsia" w:asciiTheme="minorEastAsia" w:hAnsiTheme="minorEastAsia" w:eastAsiaTheme="minorEastAsia"/>
                <w:color w:val="auto"/>
                <w:szCs w:val="21"/>
              </w:rPr>
              <w:t>服务对象满意度专项调查</w:t>
            </w:r>
            <w:bookmarkEnd w:id="25"/>
            <w:bookmarkEnd w:id="26"/>
            <w:bookmarkEnd w:id="27"/>
            <w:bookmarkEnd w:id="28"/>
            <w:bookmarkEnd w:id="29"/>
            <w:r>
              <w:rPr>
                <w:rFonts w:hint="eastAsia" w:asciiTheme="minorEastAsia" w:hAnsiTheme="minorEastAsia" w:eastAsiaTheme="minorEastAsia"/>
                <w:color w:val="auto"/>
                <w:szCs w:val="21"/>
              </w:rPr>
              <w:t>。</w:t>
            </w:r>
          </w:p>
        </w:tc>
        <w:tc>
          <w:tcPr>
            <w:tcW w:w="852" w:type="dxa"/>
            <w:tcBorders>
              <w:top w:val="single" w:color="auto" w:sz="4" w:space="0"/>
              <w:left w:val="nil"/>
              <w:bottom w:val="single" w:color="auto" w:sz="4" w:space="0"/>
              <w:right w:val="single" w:color="auto" w:sz="4" w:space="0"/>
            </w:tcBorders>
            <w:vAlign w:val="center"/>
          </w:tcPr>
          <w:p w14:paraId="44002F47">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51" w:type="dxa"/>
            <w:tcBorders>
              <w:top w:val="single" w:color="auto" w:sz="4" w:space="0"/>
              <w:left w:val="nil"/>
              <w:bottom w:val="single" w:color="auto" w:sz="4" w:space="0"/>
              <w:right w:val="single" w:color="auto" w:sz="4" w:space="0"/>
            </w:tcBorders>
            <w:vAlign w:val="center"/>
          </w:tcPr>
          <w:p w14:paraId="665DF9A2">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6EF23867">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r>
      <w:bookmarkEnd w:id="16"/>
      <w:bookmarkEnd w:id="17"/>
      <w:tr w14:paraId="0BD5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14" w:type="dxa"/>
            <w:vMerge w:val="restart"/>
            <w:tcBorders>
              <w:left w:val="single" w:color="auto" w:sz="4" w:space="0"/>
              <w:right w:val="single" w:color="auto" w:sz="4" w:space="0"/>
            </w:tcBorders>
            <w:vAlign w:val="center"/>
          </w:tcPr>
          <w:p w14:paraId="39C82994">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766" w:type="dxa"/>
            <w:vMerge w:val="restart"/>
            <w:tcBorders>
              <w:left w:val="nil"/>
              <w:right w:val="single" w:color="auto" w:sz="4" w:space="0"/>
            </w:tcBorders>
            <w:vAlign w:val="center"/>
          </w:tcPr>
          <w:p w14:paraId="1E56109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数据清洗和统计分析</w:t>
            </w:r>
          </w:p>
        </w:tc>
        <w:tc>
          <w:tcPr>
            <w:tcW w:w="664" w:type="dxa"/>
            <w:vMerge w:val="restart"/>
            <w:tcBorders>
              <w:left w:val="nil"/>
              <w:right w:val="single" w:color="auto" w:sz="4" w:space="0"/>
            </w:tcBorders>
            <w:vAlign w:val="center"/>
          </w:tcPr>
          <w:p w14:paraId="35C3C056">
            <w:pPr>
              <w:adjustRightInd w:val="0"/>
              <w:snapToGrid w:val="0"/>
              <w:spacing w:line="320" w:lineRule="exact"/>
              <w:jc w:val="center"/>
              <w:rPr>
                <w:rFonts w:asciiTheme="minorEastAsia" w:hAnsiTheme="minorEastAsia" w:eastAsiaTheme="minorEastAsia"/>
                <w:color w:val="auto"/>
                <w:szCs w:val="21"/>
              </w:rPr>
            </w:pPr>
            <w:bookmarkStart w:id="30" w:name="OLE_LINK6"/>
            <w:r>
              <w:rPr>
                <w:rFonts w:hint="eastAsia" w:asciiTheme="minorEastAsia" w:hAnsiTheme="minorEastAsia" w:eastAsiaTheme="minorEastAsia"/>
                <w:color w:val="auto"/>
                <w:szCs w:val="21"/>
              </w:rPr>
              <w:t>企业</w:t>
            </w:r>
            <w:bookmarkEnd w:id="30"/>
            <w:r>
              <w:rPr>
                <w:rFonts w:hint="eastAsia" w:asciiTheme="minorEastAsia" w:hAnsiTheme="minorEastAsia" w:eastAsiaTheme="minorEastAsia"/>
                <w:color w:val="auto"/>
                <w:szCs w:val="21"/>
              </w:rPr>
              <w:t>+</w:t>
            </w:r>
          </w:p>
          <w:p w14:paraId="3B002169">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0B3D3B21">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达到双方认可的样本回收标准后，项目团队对所有收集的数据进行清洗，查验数据的真实性、合法性和完整性，保证数据的有效性。</w:t>
            </w:r>
          </w:p>
        </w:tc>
        <w:tc>
          <w:tcPr>
            <w:tcW w:w="852" w:type="dxa"/>
            <w:tcBorders>
              <w:top w:val="single" w:color="auto" w:sz="4" w:space="0"/>
              <w:left w:val="nil"/>
              <w:bottom w:val="single" w:color="auto" w:sz="4" w:space="0"/>
              <w:right w:val="single" w:color="auto" w:sz="4" w:space="0"/>
            </w:tcBorders>
            <w:vAlign w:val="center"/>
          </w:tcPr>
          <w:p w14:paraId="733BBE85">
            <w:pPr>
              <w:adjustRightInd w:val="0"/>
              <w:snapToGrid w:val="0"/>
              <w:spacing w:line="320" w:lineRule="exact"/>
              <w:jc w:val="center"/>
              <w:rPr>
                <w:rFonts w:ascii="宋体" w:hAnsi="宋体"/>
                <w:color w:val="auto"/>
                <w:szCs w:val="21"/>
              </w:rPr>
            </w:pPr>
            <w:r>
              <w:rPr>
                <w:rFonts w:hint="eastAsia" w:ascii="宋体" w:hAnsi="宋体"/>
                <w:color w:val="auto"/>
              </w:rPr>
              <w:t>120</w:t>
            </w:r>
          </w:p>
        </w:tc>
        <w:tc>
          <w:tcPr>
            <w:tcW w:w="851" w:type="dxa"/>
            <w:tcBorders>
              <w:top w:val="single" w:color="auto" w:sz="4" w:space="0"/>
              <w:left w:val="nil"/>
              <w:bottom w:val="single" w:color="auto" w:sz="4" w:space="0"/>
              <w:right w:val="single" w:color="auto" w:sz="4" w:space="0"/>
            </w:tcBorders>
            <w:vAlign w:val="center"/>
          </w:tcPr>
          <w:p w14:paraId="634834A1">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7F3B50FE">
            <w:pPr>
              <w:adjustRightInd w:val="0"/>
              <w:snapToGrid w:val="0"/>
              <w:spacing w:line="320" w:lineRule="exact"/>
              <w:jc w:val="center"/>
              <w:rPr>
                <w:rFonts w:ascii="宋体" w:hAnsi="宋体"/>
                <w:color w:val="auto"/>
                <w:szCs w:val="21"/>
              </w:rPr>
            </w:pPr>
            <w:r>
              <w:rPr>
                <w:rFonts w:hint="eastAsia" w:ascii="宋体" w:hAnsi="宋体"/>
                <w:color w:val="auto"/>
              </w:rPr>
              <w:t>120</w:t>
            </w:r>
            <w:r>
              <w:rPr>
                <w:rFonts w:ascii="宋体" w:hAnsi="宋体"/>
                <w:color w:val="auto"/>
              </w:rPr>
              <w:t>00</w:t>
            </w:r>
          </w:p>
        </w:tc>
      </w:tr>
      <w:tr w14:paraId="15DE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4" w:type="dxa"/>
            <w:vMerge w:val="continue"/>
            <w:tcBorders>
              <w:left w:val="single" w:color="auto" w:sz="4" w:space="0"/>
              <w:bottom w:val="single" w:color="auto" w:sz="4" w:space="0"/>
              <w:right w:val="single" w:color="auto" w:sz="4" w:space="0"/>
            </w:tcBorders>
            <w:vAlign w:val="center"/>
          </w:tcPr>
          <w:p w14:paraId="78A08844">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bottom w:val="single" w:color="auto" w:sz="4" w:space="0"/>
              <w:right w:val="single" w:color="auto" w:sz="4" w:space="0"/>
            </w:tcBorders>
            <w:vAlign w:val="center"/>
          </w:tcPr>
          <w:p w14:paraId="3B33284B">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bottom w:val="single" w:color="auto" w:sz="4" w:space="0"/>
              <w:right w:val="single" w:color="auto" w:sz="4" w:space="0"/>
            </w:tcBorders>
            <w:vAlign w:val="center"/>
          </w:tcPr>
          <w:p w14:paraId="57961BFD">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284F25BB">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在完成数据清洗后，项目团队对学校和专业群层面调查问卷中各群体的答题数据进行统计分析，形成数据分析报告。</w:t>
            </w:r>
          </w:p>
        </w:tc>
        <w:tc>
          <w:tcPr>
            <w:tcW w:w="852" w:type="dxa"/>
            <w:tcBorders>
              <w:top w:val="single" w:color="auto" w:sz="4" w:space="0"/>
              <w:left w:val="nil"/>
              <w:bottom w:val="single" w:color="auto" w:sz="4" w:space="0"/>
              <w:right w:val="single" w:color="auto" w:sz="4" w:space="0"/>
            </w:tcBorders>
            <w:vAlign w:val="center"/>
          </w:tcPr>
          <w:p w14:paraId="0B562D1D">
            <w:pPr>
              <w:adjustRightInd w:val="0"/>
              <w:snapToGrid w:val="0"/>
              <w:spacing w:line="320" w:lineRule="exact"/>
              <w:jc w:val="center"/>
              <w:rPr>
                <w:rFonts w:ascii="宋体" w:hAnsi="宋体"/>
                <w:color w:val="auto"/>
              </w:rPr>
            </w:pPr>
            <w:r>
              <w:rPr>
                <w:rFonts w:hint="eastAsia" w:ascii="宋体" w:hAnsi="宋体"/>
                <w:color w:val="auto"/>
              </w:rPr>
              <w:t>120</w:t>
            </w:r>
          </w:p>
        </w:tc>
        <w:tc>
          <w:tcPr>
            <w:tcW w:w="851" w:type="dxa"/>
            <w:tcBorders>
              <w:top w:val="single" w:color="auto" w:sz="4" w:space="0"/>
              <w:left w:val="nil"/>
              <w:bottom w:val="single" w:color="auto" w:sz="4" w:space="0"/>
              <w:right w:val="single" w:color="auto" w:sz="4" w:space="0"/>
            </w:tcBorders>
            <w:vAlign w:val="center"/>
          </w:tcPr>
          <w:p w14:paraId="6DBB3141">
            <w:pPr>
              <w:adjustRightInd w:val="0"/>
              <w:snapToGrid w:val="0"/>
              <w:spacing w:line="320" w:lineRule="exact"/>
              <w:jc w:val="center"/>
              <w:rPr>
                <w:rFonts w:ascii="宋体" w:hAnsi="宋体"/>
                <w:color w:val="auto"/>
              </w:rPr>
            </w:pPr>
            <w:r>
              <w:rPr>
                <w:rFonts w:hint="eastAsia"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75BE685F">
            <w:pPr>
              <w:adjustRightInd w:val="0"/>
              <w:snapToGrid w:val="0"/>
              <w:spacing w:line="320" w:lineRule="exact"/>
              <w:jc w:val="center"/>
              <w:rPr>
                <w:rFonts w:ascii="宋体" w:hAnsi="宋体"/>
                <w:color w:val="auto"/>
              </w:rPr>
            </w:pPr>
            <w:r>
              <w:rPr>
                <w:rFonts w:hint="eastAsia" w:ascii="宋体" w:hAnsi="宋体"/>
                <w:color w:val="auto"/>
              </w:rPr>
              <w:t>12000</w:t>
            </w:r>
          </w:p>
        </w:tc>
      </w:tr>
      <w:tr w14:paraId="111A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14" w:type="dxa"/>
            <w:vMerge w:val="restart"/>
            <w:tcBorders>
              <w:top w:val="single" w:color="auto" w:sz="4" w:space="0"/>
              <w:left w:val="single" w:color="auto" w:sz="4" w:space="0"/>
              <w:right w:val="single" w:color="auto" w:sz="4" w:space="0"/>
            </w:tcBorders>
            <w:vAlign w:val="center"/>
          </w:tcPr>
          <w:p w14:paraId="7D87B073">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766" w:type="dxa"/>
            <w:vMerge w:val="restart"/>
            <w:tcBorders>
              <w:top w:val="single" w:color="auto" w:sz="4" w:space="0"/>
              <w:left w:val="nil"/>
              <w:right w:val="single" w:color="auto" w:sz="4" w:space="0"/>
            </w:tcBorders>
            <w:vAlign w:val="center"/>
          </w:tcPr>
          <w:p w14:paraId="77347B4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报告撰写与审校</w:t>
            </w:r>
          </w:p>
        </w:tc>
        <w:tc>
          <w:tcPr>
            <w:tcW w:w="664" w:type="dxa"/>
            <w:vMerge w:val="restart"/>
            <w:tcBorders>
              <w:top w:val="single" w:color="auto" w:sz="4" w:space="0"/>
              <w:left w:val="nil"/>
              <w:right w:val="single" w:color="auto" w:sz="4" w:space="0"/>
            </w:tcBorders>
            <w:vAlign w:val="center"/>
          </w:tcPr>
          <w:p w14:paraId="30E64FC6">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4AD1C69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6DF4F09B">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完成双高计划学校建设任务质量评价问卷的数据分析后，</w:t>
            </w:r>
            <w:bookmarkStart w:id="31" w:name="OLE_LINK10"/>
            <w:bookmarkStart w:id="32" w:name="OLE_LINK11"/>
            <w:r>
              <w:rPr>
                <w:rFonts w:hint="eastAsia" w:asciiTheme="minorEastAsia" w:hAnsiTheme="minorEastAsia" w:eastAsiaTheme="minorEastAsia"/>
                <w:color w:val="auto"/>
                <w:szCs w:val="21"/>
              </w:rPr>
              <w:t>项目</w:t>
            </w:r>
            <w:bookmarkEnd w:id="31"/>
            <w:bookmarkEnd w:id="32"/>
            <w:r>
              <w:rPr>
                <w:rFonts w:hint="eastAsia" w:asciiTheme="minorEastAsia" w:hAnsiTheme="minorEastAsia" w:eastAsiaTheme="minorEastAsia"/>
                <w:color w:val="auto"/>
                <w:szCs w:val="21"/>
              </w:rPr>
              <w:t>团队将安排至少 3 位资深专业人员进行分工撰写学校省级双高校建设质量第三方评价报告。项目团队和学校共同完成审校工作。学校提出的修改优化意见，项目团队应及时做出响应，并确保报告质量。</w:t>
            </w:r>
          </w:p>
        </w:tc>
        <w:tc>
          <w:tcPr>
            <w:tcW w:w="852" w:type="dxa"/>
            <w:tcBorders>
              <w:top w:val="single" w:color="auto" w:sz="4" w:space="0"/>
              <w:left w:val="nil"/>
              <w:bottom w:val="single" w:color="auto" w:sz="4" w:space="0"/>
              <w:right w:val="single" w:color="auto" w:sz="4" w:space="0"/>
            </w:tcBorders>
            <w:vAlign w:val="center"/>
          </w:tcPr>
          <w:p w14:paraId="0736D154">
            <w:pPr>
              <w:adjustRightInd w:val="0"/>
              <w:snapToGrid w:val="0"/>
              <w:spacing w:line="320" w:lineRule="exact"/>
              <w:jc w:val="center"/>
              <w:rPr>
                <w:rFonts w:ascii="宋体" w:hAnsi="宋体"/>
                <w:color w:val="auto"/>
                <w:szCs w:val="21"/>
              </w:rPr>
            </w:pPr>
            <w:r>
              <w:rPr>
                <w:rFonts w:hint="eastAsia" w:ascii="宋体" w:hAnsi="宋体"/>
                <w:color w:val="auto"/>
                <w:szCs w:val="21"/>
              </w:rPr>
              <w:t>200</w:t>
            </w:r>
          </w:p>
        </w:tc>
        <w:tc>
          <w:tcPr>
            <w:tcW w:w="851" w:type="dxa"/>
            <w:tcBorders>
              <w:top w:val="single" w:color="auto" w:sz="4" w:space="0"/>
              <w:left w:val="nil"/>
              <w:bottom w:val="single" w:color="auto" w:sz="4" w:space="0"/>
              <w:right w:val="single" w:color="auto" w:sz="4" w:space="0"/>
            </w:tcBorders>
            <w:vAlign w:val="center"/>
          </w:tcPr>
          <w:p w14:paraId="27B183E4">
            <w:pPr>
              <w:adjustRightInd w:val="0"/>
              <w:snapToGrid w:val="0"/>
              <w:spacing w:line="320" w:lineRule="exact"/>
              <w:jc w:val="center"/>
              <w:rPr>
                <w:rFonts w:ascii="宋体" w:hAnsi="宋体"/>
                <w:color w:val="auto"/>
              </w:rPr>
            </w:pPr>
            <w:r>
              <w:rPr>
                <w:rFonts w:hint="eastAsia"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475BF638">
            <w:pPr>
              <w:adjustRightInd w:val="0"/>
              <w:snapToGrid w:val="0"/>
              <w:spacing w:line="320" w:lineRule="exact"/>
              <w:jc w:val="center"/>
              <w:rPr>
                <w:rFonts w:ascii="宋体" w:hAnsi="宋体"/>
                <w:color w:val="auto"/>
                <w:szCs w:val="21"/>
              </w:rPr>
            </w:pPr>
            <w:r>
              <w:rPr>
                <w:rFonts w:hint="eastAsia" w:ascii="宋体" w:hAnsi="宋体"/>
                <w:color w:val="auto"/>
                <w:szCs w:val="21"/>
              </w:rPr>
              <w:t>20000</w:t>
            </w:r>
          </w:p>
        </w:tc>
      </w:tr>
      <w:tr w14:paraId="7821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414" w:type="dxa"/>
            <w:vMerge w:val="continue"/>
            <w:tcBorders>
              <w:left w:val="single" w:color="auto" w:sz="4" w:space="0"/>
              <w:right w:val="single" w:color="auto" w:sz="4" w:space="0"/>
            </w:tcBorders>
            <w:vAlign w:val="center"/>
          </w:tcPr>
          <w:p w14:paraId="26C0DA76">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right w:val="single" w:color="auto" w:sz="4" w:space="0"/>
            </w:tcBorders>
            <w:vAlign w:val="center"/>
          </w:tcPr>
          <w:p w14:paraId="1B8FDB3E">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right w:val="single" w:color="auto" w:sz="4" w:space="0"/>
            </w:tcBorders>
            <w:vAlign w:val="center"/>
          </w:tcPr>
          <w:p w14:paraId="15EFC00C">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15369378">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完成机电一体化高水平专业群服务对象满意度专项调查问卷的数据分析后，项目团队将安排至少 3 位资深专业人员进行分工撰写机电一体化高水平专业群服务对象满意度调查报告。项目团队和学校共同完成审校工作。学校提出的修改优化意见，项目团队应及时做出响应，并确保报告质量。</w:t>
            </w:r>
          </w:p>
        </w:tc>
        <w:tc>
          <w:tcPr>
            <w:tcW w:w="852" w:type="dxa"/>
            <w:tcBorders>
              <w:top w:val="single" w:color="auto" w:sz="4" w:space="0"/>
              <w:left w:val="nil"/>
              <w:bottom w:val="single" w:color="auto" w:sz="4" w:space="0"/>
              <w:right w:val="single" w:color="auto" w:sz="4" w:space="0"/>
            </w:tcBorders>
            <w:vAlign w:val="center"/>
          </w:tcPr>
          <w:p w14:paraId="35F1C156">
            <w:pPr>
              <w:adjustRightInd w:val="0"/>
              <w:snapToGrid w:val="0"/>
              <w:spacing w:line="320" w:lineRule="exact"/>
              <w:jc w:val="center"/>
              <w:rPr>
                <w:rFonts w:ascii="宋体" w:hAnsi="宋体"/>
                <w:color w:val="auto"/>
                <w:szCs w:val="21"/>
              </w:rPr>
            </w:pPr>
            <w:r>
              <w:rPr>
                <w:rFonts w:hint="eastAsia" w:ascii="宋体" w:hAnsi="宋体"/>
                <w:color w:val="auto"/>
                <w:szCs w:val="21"/>
              </w:rPr>
              <w:t>80</w:t>
            </w:r>
          </w:p>
        </w:tc>
        <w:tc>
          <w:tcPr>
            <w:tcW w:w="851" w:type="dxa"/>
            <w:tcBorders>
              <w:top w:val="single" w:color="auto" w:sz="4" w:space="0"/>
              <w:left w:val="nil"/>
              <w:bottom w:val="single" w:color="auto" w:sz="4" w:space="0"/>
              <w:right w:val="single" w:color="auto" w:sz="4" w:space="0"/>
            </w:tcBorders>
            <w:vAlign w:val="center"/>
          </w:tcPr>
          <w:p w14:paraId="24EE3F4F">
            <w:pPr>
              <w:adjustRightInd w:val="0"/>
              <w:snapToGrid w:val="0"/>
              <w:spacing w:line="320" w:lineRule="exact"/>
              <w:jc w:val="center"/>
              <w:rPr>
                <w:rFonts w:ascii="宋体" w:hAnsi="宋体"/>
                <w:color w:val="auto"/>
              </w:rPr>
            </w:pPr>
            <w:r>
              <w:rPr>
                <w:rFonts w:hint="eastAsia"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632A6C08">
            <w:pPr>
              <w:adjustRightInd w:val="0"/>
              <w:snapToGrid w:val="0"/>
              <w:spacing w:line="320" w:lineRule="exact"/>
              <w:jc w:val="center"/>
              <w:rPr>
                <w:rFonts w:ascii="宋体" w:hAnsi="宋体"/>
                <w:color w:val="auto"/>
                <w:szCs w:val="21"/>
              </w:rPr>
            </w:pPr>
            <w:r>
              <w:rPr>
                <w:rFonts w:hint="eastAsia" w:ascii="宋体" w:hAnsi="宋体"/>
                <w:color w:val="auto"/>
                <w:szCs w:val="21"/>
              </w:rPr>
              <w:t>8000</w:t>
            </w:r>
          </w:p>
        </w:tc>
      </w:tr>
      <w:tr w14:paraId="158D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414" w:type="dxa"/>
            <w:vMerge w:val="restart"/>
            <w:tcBorders>
              <w:left w:val="single" w:color="auto" w:sz="4" w:space="0"/>
              <w:right w:val="single" w:color="auto" w:sz="4" w:space="0"/>
            </w:tcBorders>
            <w:vAlign w:val="center"/>
          </w:tcPr>
          <w:p w14:paraId="44534486">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766" w:type="dxa"/>
            <w:vMerge w:val="restart"/>
            <w:tcBorders>
              <w:left w:val="nil"/>
              <w:right w:val="single" w:color="auto" w:sz="4" w:space="0"/>
            </w:tcBorders>
            <w:vAlign w:val="center"/>
          </w:tcPr>
          <w:p w14:paraId="515FE931">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报告撰写与审校</w:t>
            </w:r>
          </w:p>
        </w:tc>
        <w:tc>
          <w:tcPr>
            <w:tcW w:w="664" w:type="dxa"/>
            <w:vMerge w:val="restart"/>
            <w:tcBorders>
              <w:left w:val="nil"/>
              <w:right w:val="single" w:color="auto" w:sz="4" w:space="0"/>
            </w:tcBorders>
            <w:vAlign w:val="center"/>
          </w:tcPr>
          <w:p w14:paraId="111381AA">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10703782">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03212565">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w:t>
            </w:r>
            <w:r>
              <w:rPr>
                <w:rFonts w:hint="eastAsia" w:asciiTheme="minorEastAsia" w:hAnsiTheme="minorEastAsia" w:eastAsiaTheme="minorEastAsia"/>
                <w:color w:val="auto"/>
                <w:szCs w:val="21"/>
              </w:rPr>
              <w:t>农村新型经济组织管理</w:t>
            </w:r>
            <w:r>
              <w:rPr>
                <w:rFonts w:hint="eastAsia" w:asciiTheme="minorEastAsia" w:hAnsiTheme="minorEastAsia" w:eastAsiaTheme="minorEastAsia"/>
                <w:color w:val="auto"/>
                <w:szCs w:val="21"/>
              </w:rPr>
              <w:t>高水平专业群服务对象满意度专项调查问卷的数据分析后，项目团队将安排至少 3 位资深专业人员进行分工撰写</w:t>
            </w:r>
            <w:r>
              <w:rPr>
                <w:rFonts w:hint="eastAsia" w:asciiTheme="minorEastAsia" w:hAnsiTheme="minorEastAsia" w:eastAsiaTheme="minorEastAsia"/>
                <w:color w:val="auto"/>
                <w:szCs w:val="21"/>
              </w:rPr>
              <w:t>农村新型经济组织管理</w:t>
            </w:r>
            <w:r>
              <w:rPr>
                <w:rFonts w:hint="eastAsia" w:asciiTheme="minorEastAsia" w:hAnsiTheme="minorEastAsia" w:eastAsiaTheme="minorEastAsia"/>
                <w:color w:val="auto"/>
                <w:szCs w:val="21"/>
              </w:rPr>
              <w:t>高水平专业群服务对象满意度调查报告。项目团队和学校共同完成审校工作。学校提出的修改优化意见，项目团队应及时做出响应，并确保报告质量。</w:t>
            </w:r>
          </w:p>
        </w:tc>
        <w:tc>
          <w:tcPr>
            <w:tcW w:w="852" w:type="dxa"/>
            <w:tcBorders>
              <w:top w:val="single" w:color="auto" w:sz="4" w:space="0"/>
              <w:left w:val="nil"/>
              <w:bottom w:val="single" w:color="auto" w:sz="4" w:space="0"/>
              <w:right w:val="single" w:color="auto" w:sz="4" w:space="0"/>
            </w:tcBorders>
            <w:vAlign w:val="center"/>
          </w:tcPr>
          <w:p w14:paraId="4BCE8567">
            <w:pPr>
              <w:adjustRightInd w:val="0"/>
              <w:snapToGrid w:val="0"/>
              <w:spacing w:line="320" w:lineRule="exact"/>
              <w:jc w:val="center"/>
              <w:rPr>
                <w:rFonts w:ascii="宋体" w:hAnsi="宋体"/>
                <w:color w:val="auto"/>
                <w:szCs w:val="21"/>
              </w:rPr>
            </w:pPr>
            <w:r>
              <w:rPr>
                <w:rFonts w:hint="eastAsia" w:ascii="宋体" w:hAnsi="宋体"/>
                <w:color w:val="auto"/>
                <w:szCs w:val="21"/>
              </w:rPr>
              <w:t>80</w:t>
            </w:r>
          </w:p>
        </w:tc>
        <w:tc>
          <w:tcPr>
            <w:tcW w:w="851" w:type="dxa"/>
            <w:tcBorders>
              <w:top w:val="single" w:color="auto" w:sz="4" w:space="0"/>
              <w:left w:val="nil"/>
              <w:bottom w:val="single" w:color="auto" w:sz="4" w:space="0"/>
              <w:right w:val="single" w:color="auto" w:sz="4" w:space="0"/>
            </w:tcBorders>
            <w:vAlign w:val="center"/>
          </w:tcPr>
          <w:p w14:paraId="08C51C4F">
            <w:pPr>
              <w:adjustRightInd w:val="0"/>
              <w:snapToGrid w:val="0"/>
              <w:spacing w:line="320" w:lineRule="exact"/>
              <w:jc w:val="center"/>
              <w:rPr>
                <w:rFonts w:ascii="宋体" w:hAnsi="宋体"/>
                <w:color w:val="auto"/>
              </w:rPr>
            </w:pPr>
            <w:r>
              <w:rPr>
                <w:rFonts w:hint="eastAsia"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104C05B7">
            <w:pPr>
              <w:adjustRightInd w:val="0"/>
              <w:snapToGrid w:val="0"/>
              <w:spacing w:line="320" w:lineRule="exact"/>
              <w:jc w:val="center"/>
              <w:rPr>
                <w:rFonts w:ascii="宋体" w:hAnsi="宋体"/>
                <w:color w:val="auto"/>
                <w:szCs w:val="21"/>
              </w:rPr>
            </w:pPr>
            <w:r>
              <w:rPr>
                <w:rFonts w:hint="eastAsia" w:ascii="宋体" w:hAnsi="宋体"/>
                <w:color w:val="auto"/>
                <w:szCs w:val="21"/>
              </w:rPr>
              <w:t>8000</w:t>
            </w:r>
          </w:p>
        </w:tc>
      </w:tr>
      <w:tr w14:paraId="5280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14" w:type="dxa"/>
            <w:vMerge w:val="continue"/>
            <w:tcBorders>
              <w:left w:val="single" w:color="auto" w:sz="4" w:space="0"/>
              <w:bottom w:val="single" w:color="auto" w:sz="4" w:space="0"/>
              <w:right w:val="single" w:color="auto" w:sz="4" w:space="0"/>
            </w:tcBorders>
            <w:vAlign w:val="center"/>
          </w:tcPr>
          <w:p w14:paraId="30E5D765">
            <w:pPr>
              <w:adjustRightInd w:val="0"/>
              <w:snapToGrid w:val="0"/>
              <w:spacing w:line="320" w:lineRule="exact"/>
              <w:jc w:val="center"/>
              <w:rPr>
                <w:rFonts w:asciiTheme="minorEastAsia" w:hAnsiTheme="minorEastAsia" w:eastAsiaTheme="minorEastAsia"/>
                <w:color w:val="auto"/>
                <w:szCs w:val="21"/>
              </w:rPr>
            </w:pPr>
          </w:p>
        </w:tc>
        <w:tc>
          <w:tcPr>
            <w:tcW w:w="766" w:type="dxa"/>
            <w:vMerge w:val="continue"/>
            <w:tcBorders>
              <w:left w:val="nil"/>
              <w:bottom w:val="single" w:color="auto" w:sz="4" w:space="0"/>
              <w:right w:val="single" w:color="auto" w:sz="4" w:space="0"/>
            </w:tcBorders>
            <w:vAlign w:val="center"/>
          </w:tcPr>
          <w:p w14:paraId="35191977">
            <w:pPr>
              <w:adjustRightInd w:val="0"/>
              <w:snapToGrid w:val="0"/>
              <w:spacing w:line="320" w:lineRule="exact"/>
              <w:jc w:val="center"/>
              <w:rPr>
                <w:rFonts w:asciiTheme="minorEastAsia" w:hAnsiTheme="minorEastAsia" w:eastAsiaTheme="minorEastAsia"/>
                <w:color w:val="auto"/>
                <w:szCs w:val="21"/>
              </w:rPr>
            </w:pPr>
          </w:p>
        </w:tc>
        <w:tc>
          <w:tcPr>
            <w:tcW w:w="664" w:type="dxa"/>
            <w:vMerge w:val="continue"/>
            <w:tcBorders>
              <w:left w:val="nil"/>
              <w:bottom w:val="single" w:color="auto" w:sz="4" w:space="0"/>
              <w:right w:val="single" w:color="auto" w:sz="4" w:space="0"/>
            </w:tcBorders>
            <w:vAlign w:val="center"/>
          </w:tcPr>
          <w:p w14:paraId="228FA2C2">
            <w:pPr>
              <w:adjustRightInd w:val="0"/>
              <w:snapToGrid w:val="0"/>
              <w:spacing w:line="320" w:lineRule="exact"/>
              <w:jc w:val="center"/>
              <w:rPr>
                <w:rFonts w:asciiTheme="minorEastAsia" w:hAnsiTheme="minorEastAsia" w:eastAsiaTheme="minorEastAsia"/>
                <w:color w:val="auto"/>
                <w:szCs w:val="21"/>
              </w:rPr>
            </w:pPr>
          </w:p>
        </w:tc>
        <w:tc>
          <w:tcPr>
            <w:tcW w:w="4964" w:type="dxa"/>
            <w:tcBorders>
              <w:top w:val="single" w:color="auto" w:sz="4" w:space="0"/>
              <w:left w:val="nil"/>
              <w:bottom w:val="single" w:color="auto" w:sz="4" w:space="0"/>
              <w:right w:val="single" w:color="auto" w:sz="4" w:space="0"/>
            </w:tcBorders>
            <w:vAlign w:val="center"/>
          </w:tcPr>
          <w:p w14:paraId="13CAE2DC">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完成护理高水平专业群服务对象满意度专项调查问卷的数据分析后，项目团队将安排至少 3 位资深专业人员进行分工撰写护理高水平专业群服务对象满意度调查报告。项目团队和学校共同完成审校工作。学校提出的修改优化意见，项目团队应及时做出响应，并确保报告质量。</w:t>
            </w:r>
          </w:p>
        </w:tc>
        <w:tc>
          <w:tcPr>
            <w:tcW w:w="852" w:type="dxa"/>
            <w:tcBorders>
              <w:top w:val="single" w:color="auto" w:sz="4" w:space="0"/>
              <w:left w:val="nil"/>
              <w:bottom w:val="single" w:color="auto" w:sz="4" w:space="0"/>
              <w:right w:val="single" w:color="auto" w:sz="4" w:space="0"/>
            </w:tcBorders>
            <w:vAlign w:val="center"/>
          </w:tcPr>
          <w:p w14:paraId="2140EE24">
            <w:pPr>
              <w:adjustRightInd w:val="0"/>
              <w:snapToGrid w:val="0"/>
              <w:spacing w:line="320" w:lineRule="exact"/>
              <w:jc w:val="center"/>
              <w:rPr>
                <w:rFonts w:ascii="宋体" w:hAnsi="宋体"/>
                <w:color w:val="auto"/>
                <w:szCs w:val="21"/>
              </w:rPr>
            </w:pPr>
            <w:r>
              <w:rPr>
                <w:rFonts w:hint="eastAsia" w:ascii="宋体" w:hAnsi="宋体"/>
                <w:color w:val="auto"/>
                <w:szCs w:val="21"/>
              </w:rPr>
              <w:t>80</w:t>
            </w:r>
          </w:p>
        </w:tc>
        <w:tc>
          <w:tcPr>
            <w:tcW w:w="851" w:type="dxa"/>
            <w:tcBorders>
              <w:top w:val="single" w:color="auto" w:sz="4" w:space="0"/>
              <w:left w:val="nil"/>
              <w:bottom w:val="single" w:color="auto" w:sz="4" w:space="0"/>
              <w:right w:val="single" w:color="auto" w:sz="4" w:space="0"/>
            </w:tcBorders>
            <w:vAlign w:val="center"/>
          </w:tcPr>
          <w:p w14:paraId="0102D1E3">
            <w:pPr>
              <w:adjustRightInd w:val="0"/>
              <w:snapToGrid w:val="0"/>
              <w:spacing w:line="320" w:lineRule="exact"/>
              <w:jc w:val="center"/>
              <w:rPr>
                <w:rFonts w:ascii="宋体" w:hAnsi="宋体"/>
                <w:color w:val="auto"/>
              </w:rPr>
            </w:pPr>
            <w:r>
              <w:rPr>
                <w:rFonts w:hint="eastAsia"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197BE5B8">
            <w:pPr>
              <w:adjustRightInd w:val="0"/>
              <w:snapToGrid w:val="0"/>
              <w:spacing w:line="320" w:lineRule="exact"/>
              <w:jc w:val="center"/>
              <w:rPr>
                <w:rFonts w:ascii="宋体" w:hAnsi="宋体"/>
                <w:color w:val="auto"/>
                <w:szCs w:val="21"/>
              </w:rPr>
            </w:pPr>
            <w:r>
              <w:rPr>
                <w:rFonts w:hint="eastAsia" w:ascii="宋体" w:hAnsi="宋体"/>
                <w:color w:val="auto"/>
                <w:szCs w:val="21"/>
              </w:rPr>
              <w:t>8000</w:t>
            </w:r>
          </w:p>
        </w:tc>
      </w:tr>
      <w:tr w14:paraId="62A9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14" w:type="dxa"/>
            <w:tcBorders>
              <w:top w:val="single" w:color="auto" w:sz="4" w:space="0"/>
              <w:left w:val="single" w:color="auto" w:sz="4" w:space="0"/>
              <w:bottom w:val="single" w:color="auto" w:sz="4" w:space="0"/>
              <w:right w:val="single" w:color="auto" w:sz="4" w:space="0"/>
            </w:tcBorders>
            <w:vAlign w:val="center"/>
          </w:tcPr>
          <w:p w14:paraId="6B3E595D">
            <w:pPr>
              <w:adjustRightInd w:val="0"/>
              <w:snapToGrid w:val="0"/>
              <w:spacing w:line="320" w:lineRule="exact"/>
              <w:jc w:val="center"/>
              <w:rPr>
                <w:rFonts w:asciiTheme="minorEastAsia" w:hAnsiTheme="minorEastAsia" w:eastAsiaTheme="minorEastAsia"/>
                <w:color w:val="auto"/>
                <w:szCs w:val="21"/>
              </w:rPr>
            </w:pPr>
            <w:bookmarkStart w:id="33" w:name="_Hlk194315517"/>
            <w:r>
              <w:rPr>
                <w:rFonts w:hint="eastAsia" w:asciiTheme="minorEastAsia" w:hAnsiTheme="minorEastAsia" w:eastAsiaTheme="minorEastAsia"/>
                <w:color w:val="auto"/>
                <w:szCs w:val="21"/>
              </w:rPr>
              <w:t>6</w:t>
            </w:r>
          </w:p>
        </w:tc>
        <w:tc>
          <w:tcPr>
            <w:tcW w:w="766" w:type="dxa"/>
            <w:tcBorders>
              <w:top w:val="single" w:color="auto" w:sz="4" w:space="0"/>
              <w:left w:val="nil"/>
              <w:bottom w:val="single" w:color="auto" w:sz="4" w:space="0"/>
              <w:right w:val="single" w:color="auto" w:sz="4" w:space="0"/>
            </w:tcBorders>
            <w:vAlign w:val="center"/>
          </w:tcPr>
          <w:p w14:paraId="076FD917">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报告交付</w:t>
            </w:r>
          </w:p>
        </w:tc>
        <w:tc>
          <w:tcPr>
            <w:tcW w:w="664" w:type="dxa"/>
            <w:tcBorders>
              <w:top w:val="single" w:color="auto" w:sz="4" w:space="0"/>
              <w:left w:val="nil"/>
              <w:bottom w:val="single" w:color="auto" w:sz="4" w:space="0"/>
              <w:right w:val="single" w:color="auto" w:sz="4" w:space="0"/>
            </w:tcBorders>
            <w:vAlign w:val="center"/>
          </w:tcPr>
          <w:p w14:paraId="75BF291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企业</w:t>
            </w:r>
          </w:p>
          <w:p w14:paraId="309FFC70">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p>
          <w:p w14:paraId="568445DD">
            <w:pPr>
              <w:adjustRightInd w:val="0"/>
              <w:snapToGrid w:val="0"/>
              <w:spacing w:line="3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w:t>
            </w:r>
          </w:p>
        </w:tc>
        <w:tc>
          <w:tcPr>
            <w:tcW w:w="4964" w:type="dxa"/>
            <w:tcBorders>
              <w:top w:val="single" w:color="auto" w:sz="4" w:space="0"/>
              <w:left w:val="nil"/>
              <w:bottom w:val="single" w:color="auto" w:sz="4" w:space="0"/>
              <w:right w:val="single" w:color="auto" w:sz="4" w:space="0"/>
            </w:tcBorders>
            <w:vAlign w:val="center"/>
          </w:tcPr>
          <w:p w14:paraId="19B06C9F">
            <w:pPr>
              <w:adjustRightInd w:val="0"/>
              <w:snapToGrid w:val="0"/>
              <w:spacing w:after="62" w:afterLines="20"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学校对报告确认定稿后，企业将安排专人负责印刷、邮寄和电子版资料（含报告和原始数据）的发送。</w:t>
            </w:r>
          </w:p>
        </w:tc>
        <w:tc>
          <w:tcPr>
            <w:tcW w:w="852" w:type="dxa"/>
            <w:tcBorders>
              <w:top w:val="single" w:color="auto" w:sz="4" w:space="0"/>
              <w:left w:val="nil"/>
              <w:bottom w:val="single" w:color="auto" w:sz="4" w:space="0"/>
              <w:right w:val="single" w:color="auto" w:sz="4" w:space="0"/>
            </w:tcBorders>
            <w:vAlign w:val="center"/>
          </w:tcPr>
          <w:p w14:paraId="2E134C1F">
            <w:pPr>
              <w:adjustRightInd w:val="0"/>
              <w:snapToGrid w:val="0"/>
              <w:spacing w:line="320" w:lineRule="exact"/>
              <w:jc w:val="center"/>
              <w:rPr>
                <w:rFonts w:ascii="宋体" w:hAnsi="宋体"/>
                <w:color w:val="auto"/>
                <w:szCs w:val="21"/>
              </w:rPr>
            </w:pPr>
            <w:r>
              <w:rPr>
                <w:rFonts w:hint="eastAsia" w:ascii="宋体" w:hAnsi="宋体"/>
                <w:color w:val="auto"/>
              </w:rPr>
              <w:t>6</w:t>
            </w:r>
            <w:r>
              <w:rPr>
                <w:rFonts w:ascii="宋体" w:hAnsi="宋体"/>
                <w:color w:val="auto"/>
              </w:rPr>
              <w:t>0</w:t>
            </w:r>
          </w:p>
        </w:tc>
        <w:tc>
          <w:tcPr>
            <w:tcW w:w="851" w:type="dxa"/>
            <w:tcBorders>
              <w:top w:val="single" w:color="auto" w:sz="4" w:space="0"/>
              <w:left w:val="nil"/>
              <w:bottom w:val="single" w:color="auto" w:sz="4" w:space="0"/>
              <w:right w:val="single" w:color="auto" w:sz="4" w:space="0"/>
            </w:tcBorders>
            <w:vAlign w:val="center"/>
          </w:tcPr>
          <w:p w14:paraId="32A63703">
            <w:pPr>
              <w:adjustRightInd w:val="0"/>
              <w:snapToGrid w:val="0"/>
              <w:spacing w:line="320" w:lineRule="exact"/>
              <w:jc w:val="center"/>
              <w:rPr>
                <w:rFonts w:ascii="宋体" w:hAnsi="宋体"/>
                <w:color w:val="auto"/>
                <w:szCs w:val="21"/>
              </w:rPr>
            </w:pPr>
            <w:r>
              <w:rPr>
                <w:rFonts w:ascii="宋体" w:hAnsi="宋体"/>
                <w:color w:val="auto"/>
              </w:rPr>
              <w:t>100</w:t>
            </w:r>
          </w:p>
        </w:tc>
        <w:tc>
          <w:tcPr>
            <w:tcW w:w="936" w:type="dxa"/>
            <w:tcBorders>
              <w:top w:val="single" w:color="auto" w:sz="4" w:space="0"/>
              <w:left w:val="nil"/>
              <w:bottom w:val="single" w:color="auto" w:sz="4" w:space="0"/>
              <w:right w:val="single" w:color="auto" w:sz="4" w:space="0"/>
            </w:tcBorders>
            <w:vAlign w:val="center"/>
          </w:tcPr>
          <w:p w14:paraId="37978FBA">
            <w:pPr>
              <w:adjustRightInd w:val="0"/>
              <w:snapToGrid w:val="0"/>
              <w:spacing w:line="320" w:lineRule="exact"/>
              <w:jc w:val="center"/>
              <w:rPr>
                <w:rFonts w:ascii="宋体" w:hAnsi="宋体"/>
                <w:color w:val="auto"/>
                <w:szCs w:val="21"/>
              </w:rPr>
            </w:pPr>
            <w:r>
              <w:rPr>
                <w:rFonts w:hint="eastAsia" w:ascii="宋体" w:hAnsi="宋体"/>
                <w:color w:val="auto"/>
              </w:rPr>
              <w:t>6</w:t>
            </w:r>
            <w:r>
              <w:rPr>
                <w:rFonts w:ascii="宋体" w:hAnsi="宋体"/>
                <w:color w:val="auto"/>
              </w:rPr>
              <w:t>000</w:t>
            </w:r>
          </w:p>
        </w:tc>
      </w:tr>
      <w:bookmarkEnd w:id="33"/>
      <w:tr w14:paraId="744B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11" w:type="dxa"/>
            <w:gridSpan w:val="6"/>
            <w:tcBorders>
              <w:top w:val="single" w:color="auto" w:sz="4" w:space="0"/>
              <w:left w:val="single" w:color="auto" w:sz="4" w:space="0"/>
              <w:bottom w:val="single" w:color="auto" w:sz="4" w:space="0"/>
              <w:right w:val="single" w:color="auto" w:sz="4" w:space="0"/>
            </w:tcBorders>
            <w:vAlign w:val="center"/>
          </w:tcPr>
          <w:p w14:paraId="6D3E5B81">
            <w:pPr>
              <w:adjustRightInd w:val="0"/>
              <w:snapToGrid w:val="0"/>
              <w:spacing w:line="320" w:lineRule="exact"/>
              <w:jc w:val="center"/>
              <w:rPr>
                <w:rFonts w:ascii="宋体" w:hAnsi="宋体"/>
                <w:color w:val="auto"/>
              </w:rPr>
            </w:pPr>
            <w:r>
              <w:rPr>
                <w:rFonts w:hint="eastAsia" w:asciiTheme="minorEastAsia" w:hAnsiTheme="minorEastAsia" w:eastAsiaTheme="minorEastAsia"/>
                <w:color w:val="auto"/>
                <w:szCs w:val="21"/>
              </w:rPr>
              <w:t>合计</w:t>
            </w:r>
          </w:p>
        </w:tc>
        <w:tc>
          <w:tcPr>
            <w:tcW w:w="936" w:type="dxa"/>
            <w:tcBorders>
              <w:top w:val="single" w:color="auto" w:sz="4" w:space="0"/>
              <w:left w:val="nil"/>
              <w:bottom w:val="single" w:color="auto" w:sz="4" w:space="0"/>
              <w:right w:val="single" w:color="auto" w:sz="4" w:space="0"/>
            </w:tcBorders>
            <w:vAlign w:val="center"/>
          </w:tcPr>
          <w:p w14:paraId="1B971084">
            <w:pPr>
              <w:adjustRightInd w:val="0"/>
              <w:snapToGrid w:val="0"/>
              <w:spacing w:line="320" w:lineRule="exact"/>
              <w:jc w:val="center"/>
              <w:rPr>
                <w:rFonts w:ascii="宋体" w:hAnsi="宋体"/>
                <w:color w:val="auto"/>
              </w:rPr>
            </w:pPr>
            <w:r>
              <w:rPr>
                <w:rFonts w:hint="eastAsia" w:asciiTheme="minorEastAsia" w:hAnsiTheme="minorEastAsia" w:eastAsiaTheme="minorEastAsia"/>
                <w:color w:val="auto"/>
                <w:szCs w:val="21"/>
              </w:rPr>
              <w:t>200000</w:t>
            </w:r>
          </w:p>
        </w:tc>
      </w:tr>
      <w:bookmarkEnd w:id="1"/>
      <w:bookmarkEnd w:id="2"/>
    </w:tbl>
    <w:p w14:paraId="5F2C39C0">
      <w:pPr>
        <w:spacing w:line="580" w:lineRule="exact"/>
        <w:ind w:firstLine="600"/>
        <w:rPr>
          <w:rFonts w:ascii="华文楷体" w:hAnsi="华文楷体" w:eastAsia="华文楷体" w:cs="宋体"/>
          <w:b/>
          <w:color w:val="auto"/>
          <w:spacing w:val="-10"/>
          <w:sz w:val="32"/>
          <w:szCs w:val="32"/>
        </w:rPr>
      </w:pPr>
      <w:r>
        <w:rPr>
          <w:rFonts w:hint="eastAsia" w:ascii="华文楷体" w:hAnsi="华文楷体" w:eastAsia="华文楷体" w:cs="宋体"/>
          <w:b/>
          <w:color w:val="auto"/>
          <w:spacing w:val="-10"/>
          <w:sz w:val="32"/>
          <w:szCs w:val="32"/>
        </w:rPr>
        <w:t>3.业绩要求</w:t>
      </w:r>
    </w:p>
    <w:p w14:paraId="3340D404">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投标人需提供近三年以来具有与高等职业院校（其中第一批国家双高校不小于1家）合作同类型项目相似业绩不少于2个。</w:t>
      </w:r>
    </w:p>
    <w:p w14:paraId="5FB67474">
      <w:pPr>
        <w:spacing w:line="580" w:lineRule="exact"/>
        <w:ind w:firstLine="600"/>
        <w:rPr>
          <w:rFonts w:ascii="华文楷体" w:hAnsi="华文楷体" w:eastAsia="华文楷体" w:cs="宋体"/>
          <w:b/>
          <w:color w:val="auto"/>
          <w:spacing w:val="-10"/>
          <w:sz w:val="32"/>
          <w:szCs w:val="32"/>
        </w:rPr>
      </w:pPr>
      <w:r>
        <w:rPr>
          <w:rFonts w:hint="eastAsia" w:ascii="华文楷体" w:hAnsi="华文楷体" w:eastAsia="华文楷体" w:cs="宋体"/>
          <w:b/>
          <w:color w:val="auto"/>
          <w:spacing w:val="-10"/>
          <w:sz w:val="32"/>
          <w:szCs w:val="32"/>
        </w:rPr>
        <w:t>4.安全保密要求</w:t>
      </w:r>
    </w:p>
    <w:p w14:paraId="208DC7B0">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（1）本项目属于社会调查，且调查数据量巨大（涵盖在在校生、教职工、毕业生、用人单位、学生家长等群体基本信息），为保障整体项目数据安全性，中标人需网络信息安全等级保护备案第三级及以上证明。</w:t>
      </w:r>
    </w:p>
    <w:p w14:paraId="26245644">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校企双方应对本合作项目，以及通过合作过程中得知的有关成果和数据严格保密，未经对方事先书面同意，不得向第三方披露。</w:t>
      </w:r>
    </w:p>
    <w:p w14:paraId="7EEAD245">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除本项目所需外，未经对方事先书面同意，不得擅自使用、复制对方的技术资料、相关信息、视频素材及其他资料。</w:t>
      </w:r>
    </w:p>
    <w:p w14:paraId="1E39A330">
      <w:pPr>
        <w:spacing w:line="58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六、完成时间</w:t>
      </w:r>
    </w:p>
    <w:p w14:paraId="69362A95">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合同签订后，投标人在90天内完成全部调研并出具报告。</w:t>
      </w:r>
    </w:p>
    <w:p w14:paraId="1B6B863F">
      <w:pPr>
        <w:spacing w:line="580" w:lineRule="exact"/>
        <w:ind w:firstLine="640" w:firstLineChars="200"/>
        <w:jc w:val="left"/>
        <w:rPr>
          <w:rFonts w:ascii="黑体" w:hAnsi="黑体" w:eastAsia="黑体"/>
          <w:bCs/>
          <w:color w:val="auto"/>
          <w:sz w:val="32"/>
          <w:szCs w:val="32"/>
        </w:rPr>
      </w:pPr>
      <w:r>
        <w:rPr>
          <w:rFonts w:hint="eastAsia" w:ascii="黑体" w:hAnsi="黑体" w:eastAsia="黑体"/>
          <w:bCs/>
          <w:color w:val="auto"/>
          <w:sz w:val="32"/>
          <w:szCs w:val="32"/>
        </w:rPr>
        <w:t>七、项目建设企业职责</w:t>
      </w:r>
    </w:p>
    <w:p w14:paraId="079FD3E9">
      <w:pPr>
        <w:spacing w:line="580" w:lineRule="exact"/>
        <w:ind w:firstLine="601"/>
        <w:rPr>
          <w:rFonts w:ascii="仿宋" w:hAnsi="仿宋" w:eastAsia="仿宋"/>
          <w:color w:val="auto"/>
          <w:sz w:val="32"/>
          <w:szCs w:val="32"/>
        </w:rPr>
      </w:pPr>
      <w:r>
        <w:rPr>
          <w:rFonts w:hint="eastAsia" w:ascii="仿宋" w:hAnsi="仿宋" w:eastAsia="仿宋"/>
          <w:color w:val="auto"/>
          <w:sz w:val="32"/>
          <w:szCs w:val="32"/>
        </w:rPr>
        <w:t>1.负责提供专业技术团队资源和双高建设质量评价指标体系。</w:t>
      </w:r>
    </w:p>
    <w:p w14:paraId="50A885CE">
      <w:pPr>
        <w:spacing w:line="580" w:lineRule="exact"/>
        <w:ind w:firstLine="601"/>
        <w:rPr>
          <w:rFonts w:ascii="仿宋" w:hAnsi="仿宋" w:eastAsia="仿宋"/>
          <w:color w:val="auto"/>
          <w:sz w:val="32"/>
          <w:szCs w:val="32"/>
        </w:rPr>
      </w:pPr>
      <w:r>
        <w:rPr>
          <w:rFonts w:hint="eastAsia" w:ascii="仿宋" w:hAnsi="仿宋" w:eastAsia="仿宋"/>
          <w:color w:val="auto"/>
          <w:sz w:val="32"/>
          <w:szCs w:val="32"/>
        </w:rPr>
        <w:t>2.组织专业技术团队</w:t>
      </w:r>
      <w:r>
        <w:rPr>
          <w:rFonts w:ascii="仿宋" w:hAnsi="仿宋" w:eastAsia="仿宋"/>
          <w:color w:val="auto"/>
          <w:sz w:val="32"/>
          <w:szCs w:val="32"/>
        </w:rPr>
        <w:t>为</w:t>
      </w:r>
      <w:r>
        <w:rPr>
          <w:rFonts w:hint="eastAsia" w:ascii="仿宋" w:hAnsi="仿宋" w:eastAsia="仿宋"/>
          <w:color w:val="auto"/>
          <w:sz w:val="32"/>
          <w:szCs w:val="32"/>
        </w:rPr>
        <w:t>学校</w:t>
      </w:r>
      <w:r>
        <w:rPr>
          <w:rFonts w:ascii="仿宋" w:hAnsi="仿宋" w:eastAsia="仿宋"/>
          <w:color w:val="auto"/>
          <w:sz w:val="32"/>
          <w:szCs w:val="32"/>
        </w:rPr>
        <w:t>合作范畴表中</w:t>
      </w:r>
      <w:r>
        <w:rPr>
          <w:rFonts w:hint="eastAsia" w:ascii="仿宋" w:hAnsi="仿宋" w:eastAsia="仿宋"/>
          <w:color w:val="auto"/>
          <w:sz w:val="32"/>
          <w:szCs w:val="32"/>
        </w:rPr>
        <w:t>的服务内容</w:t>
      </w:r>
      <w:r>
        <w:rPr>
          <w:rFonts w:ascii="仿宋" w:hAnsi="仿宋" w:eastAsia="仿宋"/>
          <w:color w:val="auto"/>
          <w:sz w:val="32"/>
          <w:szCs w:val="32"/>
        </w:rPr>
        <w:t>提供高水平的工作指导</w:t>
      </w:r>
      <w:r>
        <w:rPr>
          <w:rFonts w:hint="eastAsia" w:ascii="仿宋" w:hAnsi="仿宋" w:eastAsia="仿宋"/>
          <w:color w:val="auto"/>
          <w:sz w:val="32"/>
          <w:szCs w:val="32"/>
        </w:rPr>
        <w:t>。</w:t>
      </w:r>
    </w:p>
    <w:p w14:paraId="0196F577">
      <w:pPr>
        <w:spacing w:line="580" w:lineRule="exact"/>
        <w:ind w:firstLine="601"/>
        <w:rPr>
          <w:rFonts w:ascii="仿宋" w:hAnsi="仿宋" w:eastAsia="仿宋"/>
          <w:color w:val="auto"/>
          <w:sz w:val="32"/>
          <w:szCs w:val="32"/>
        </w:rPr>
      </w:pPr>
      <w:r>
        <w:rPr>
          <w:rFonts w:hint="eastAsia" w:ascii="仿宋" w:hAnsi="仿宋" w:eastAsia="仿宋"/>
          <w:color w:val="auto"/>
          <w:sz w:val="32"/>
          <w:szCs w:val="32"/>
        </w:rPr>
        <w:t>3.按学校要求组织专家通过线上线下结合方式，开展免费培训和数据采集。</w:t>
      </w:r>
    </w:p>
    <w:p w14:paraId="6AB8B74B">
      <w:pPr>
        <w:spacing w:line="580" w:lineRule="exact"/>
        <w:ind w:firstLine="601"/>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通过邮件、电话、微信</w:t>
      </w:r>
      <w:r>
        <w:rPr>
          <w:rFonts w:hint="eastAsia" w:ascii="仿宋" w:hAnsi="仿宋" w:eastAsia="仿宋"/>
          <w:color w:val="auto"/>
          <w:sz w:val="32"/>
          <w:szCs w:val="32"/>
        </w:rPr>
        <w:t>、现场</w:t>
      </w:r>
      <w:r>
        <w:rPr>
          <w:rFonts w:ascii="仿宋" w:hAnsi="仿宋" w:eastAsia="仿宋"/>
          <w:color w:val="auto"/>
          <w:sz w:val="32"/>
          <w:szCs w:val="32"/>
        </w:rPr>
        <w:t>等形式向</w:t>
      </w:r>
      <w:r>
        <w:rPr>
          <w:rFonts w:hint="eastAsia" w:ascii="仿宋" w:hAnsi="仿宋" w:eastAsia="仿宋"/>
          <w:color w:val="auto"/>
          <w:sz w:val="32"/>
          <w:szCs w:val="32"/>
        </w:rPr>
        <w:t>学校</w:t>
      </w:r>
      <w:r>
        <w:rPr>
          <w:rFonts w:ascii="仿宋" w:hAnsi="仿宋" w:eastAsia="仿宋"/>
          <w:color w:val="auto"/>
          <w:sz w:val="32"/>
          <w:szCs w:val="32"/>
        </w:rPr>
        <w:t>提供咨询服务</w:t>
      </w:r>
      <w:r>
        <w:rPr>
          <w:rFonts w:hint="eastAsia" w:ascii="仿宋" w:hAnsi="仿宋" w:eastAsia="仿宋"/>
          <w:color w:val="auto"/>
          <w:sz w:val="32"/>
          <w:szCs w:val="32"/>
        </w:rPr>
        <w:t>。</w:t>
      </w:r>
    </w:p>
    <w:p w14:paraId="57B80055">
      <w:pPr>
        <w:spacing w:line="580" w:lineRule="exact"/>
        <w:ind w:firstLine="601"/>
        <w:rPr>
          <w:rFonts w:ascii="仿宋" w:hAnsi="仿宋" w:eastAsia="仿宋"/>
          <w:color w:val="auto"/>
          <w:sz w:val="32"/>
          <w:szCs w:val="32"/>
        </w:rPr>
      </w:pPr>
      <w:r>
        <w:rPr>
          <w:rFonts w:hint="eastAsia" w:ascii="仿宋" w:hAnsi="仿宋" w:eastAsia="仿宋"/>
          <w:color w:val="auto"/>
          <w:sz w:val="32"/>
          <w:szCs w:val="32"/>
        </w:rPr>
        <w:t>5.收集和汇总调查数据，撰写涵盖各院部数据的学校省级双高校建设质量第三方评价报告和3个高水平专业群服务对象满意度调查报告。</w:t>
      </w:r>
    </w:p>
    <w:p w14:paraId="54B04FFF">
      <w:pPr>
        <w:spacing w:line="580" w:lineRule="exact"/>
        <w:ind w:firstLine="640" w:firstLineChars="200"/>
        <w:jc w:val="left"/>
        <w:rPr>
          <w:rFonts w:ascii="黑体" w:hAnsi="黑体" w:eastAsia="黑体"/>
          <w:bCs/>
          <w:color w:val="auto"/>
          <w:sz w:val="32"/>
          <w:szCs w:val="32"/>
        </w:rPr>
      </w:pPr>
      <w:r>
        <w:rPr>
          <w:rFonts w:hint="eastAsia" w:ascii="黑体" w:hAnsi="黑体" w:eastAsia="黑体"/>
          <w:bCs/>
          <w:color w:val="auto"/>
          <w:sz w:val="32"/>
          <w:szCs w:val="32"/>
        </w:rPr>
        <w:t>八、成果形式与成果归属</w:t>
      </w:r>
    </w:p>
    <w:p w14:paraId="4EA60EBE">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1.</w:t>
      </w:r>
      <w:r>
        <w:rPr>
          <w:rFonts w:ascii="Times New Roman" w:hAnsi="Times New Roman" w:eastAsia="仿宋"/>
          <w:color w:val="auto"/>
          <w:sz w:val="32"/>
          <w:szCs w:val="32"/>
        </w:rPr>
        <w:t>成果形式</w:t>
      </w:r>
      <w:r>
        <w:rPr>
          <w:rFonts w:hint="eastAsia" w:ascii="Times New Roman" w:hAnsi="Times New Roman" w:eastAsia="仿宋"/>
          <w:color w:val="auto"/>
          <w:sz w:val="32"/>
          <w:szCs w:val="32"/>
        </w:rPr>
        <w:t>是学校省级双高校建设质量第三方评价报告和3个高水平专业群服务对象满意度调查报告等4个报告</w:t>
      </w:r>
      <w:r>
        <w:rPr>
          <w:rFonts w:ascii="Times New Roman" w:hAnsi="Times New Roman" w:eastAsia="仿宋"/>
          <w:color w:val="auto"/>
          <w:sz w:val="32"/>
          <w:szCs w:val="32"/>
        </w:rPr>
        <w:t>。</w:t>
      </w:r>
    </w:p>
    <w:p w14:paraId="5B4A9AF5">
      <w:pPr>
        <w:spacing w:line="580" w:lineRule="exact"/>
        <w:ind w:firstLine="600"/>
        <w:rPr>
          <w:rFonts w:ascii="仿宋" w:hAnsi="仿宋" w:eastAsia="仿宋"/>
          <w:color w:val="auto"/>
          <w:sz w:val="32"/>
          <w:szCs w:val="32"/>
        </w:rPr>
      </w:pPr>
      <w:r>
        <w:rPr>
          <w:rFonts w:hint="eastAsia" w:ascii="仿宋" w:hAnsi="仿宋" w:eastAsia="仿宋"/>
          <w:color w:val="auto"/>
          <w:sz w:val="32"/>
          <w:szCs w:val="32"/>
        </w:rPr>
        <w:t>2.企业有关学校项目（相关信息、数据、评价报告等）的研究成果均归学校所有。</w:t>
      </w:r>
    </w:p>
    <w:p w14:paraId="6D25F9F6">
      <w:pPr>
        <w:spacing w:line="580" w:lineRule="exact"/>
        <w:ind w:left="685" w:leftChars="250" w:hanging="160" w:hangingChars="50"/>
        <w:rPr>
          <w:rFonts w:ascii="宋体" w:hAnsi="宋体" w:cs="宋体"/>
          <w:color w:val="auto"/>
          <w:spacing w:val="-10"/>
          <w:sz w:val="32"/>
          <w:szCs w:val="32"/>
        </w:rPr>
      </w:pPr>
      <w:r>
        <w:rPr>
          <w:rFonts w:hint="eastAsia" w:ascii="黑体" w:hAnsi="黑体" w:eastAsia="黑体"/>
          <w:bCs/>
          <w:color w:val="auto"/>
          <w:sz w:val="32"/>
          <w:szCs w:val="32"/>
        </w:rPr>
        <w:t>九、付款方式</w:t>
      </w:r>
    </w:p>
    <w:p w14:paraId="61264F8E">
      <w:pPr>
        <w:spacing w:line="580" w:lineRule="exact"/>
        <w:ind w:firstLine="600"/>
        <w:rPr>
          <w:rFonts w:ascii="仿宋" w:hAnsi="仿宋" w:eastAsia="仿宋"/>
          <w:color w:val="auto"/>
          <w:sz w:val="30"/>
          <w:szCs w:val="32"/>
        </w:rPr>
      </w:pPr>
      <w:r>
        <w:rPr>
          <w:rFonts w:hint="eastAsia" w:ascii="仿宋" w:hAnsi="仿宋" w:eastAsia="仿宋"/>
          <w:color w:val="auto"/>
          <w:sz w:val="32"/>
          <w:szCs w:val="32"/>
        </w:rPr>
        <w:t>项目报告提交至学校并通过检查审核成功后，则支付全款；本项目设履约保证金10000元（大写：壹万元整），履约保证金在签订合同前交清，在项目验收合格后一个月内无息退还。</w:t>
      </w:r>
    </w:p>
    <w:p w14:paraId="680EF261">
      <w:pPr>
        <w:spacing w:line="580" w:lineRule="exact"/>
        <w:ind w:firstLine="600"/>
        <w:rPr>
          <w:rFonts w:ascii="仿宋" w:hAnsi="仿宋" w:eastAsia="仿宋"/>
          <w:color w:val="auto"/>
          <w:sz w:val="32"/>
          <w:szCs w:val="32"/>
        </w:rPr>
      </w:pPr>
    </w:p>
    <w:p w14:paraId="3FC0D7E6">
      <w:pPr>
        <w:rPr>
          <w:color w:val="auto"/>
        </w:rPr>
      </w:pPr>
    </w:p>
    <w:sectPr>
      <w:footerReference r:id="rId3" w:type="default"/>
      <w:pgSz w:w="11906" w:h="16838"/>
      <w:pgMar w:top="1440" w:right="1797" w:bottom="1304" w:left="179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001949"/>
    </w:sdtPr>
    <w:sdtContent>
      <w:p w14:paraId="1890E410">
        <w:pPr>
          <w:pStyle w:val="3"/>
          <w:jc w:val="center"/>
        </w:pPr>
        <w:r>
          <w:fldChar w:fldCharType="begin"/>
        </w:r>
        <w:r>
          <w:instrText xml:space="preserve">PAGE   \* MERGEFORMAT</w:instrText>
        </w:r>
        <w:r>
          <w:fldChar w:fldCharType="separate"/>
        </w:r>
        <w:r>
          <w:rPr>
            <w:lang w:val="zh-CN"/>
          </w:rPr>
          <w:t>2</w:t>
        </w:r>
        <w:r>
          <w:fldChar w:fldCharType="end"/>
        </w:r>
      </w:p>
    </w:sdtContent>
  </w:sdt>
  <w:p w14:paraId="0A13613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74"/>
    <w:rsid w:val="00003539"/>
    <w:rsid w:val="00005BEC"/>
    <w:rsid w:val="00011765"/>
    <w:rsid w:val="000224DE"/>
    <w:rsid w:val="00034EFE"/>
    <w:rsid w:val="0003521A"/>
    <w:rsid w:val="00042096"/>
    <w:rsid w:val="000628C1"/>
    <w:rsid w:val="000651A9"/>
    <w:rsid w:val="00073C03"/>
    <w:rsid w:val="0009215B"/>
    <w:rsid w:val="00095AF7"/>
    <w:rsid w:val="000B2772"/>
    <w:rsid w:val="000D1266"/>
    <w:rsid w:val="000D3576"/>
    <w:rsid w:val="000D79E4"/>
    <w:rsid w:val="000E014F"/>
    <w:rsid w:val="000E4A1C"/>
    <w:rsid w:val="000E758C"/>
    <w:rsid w:val="00111B54"/>
    <w:rsid w:val="00156425"/>
    <w:rsid w:val="0015757E"/>
    <w:rsid w:val="00162622"/>
    <w:rsid w:val="001847E7"/>
    <w:rsid w:val="00186F8F"/>
    <w:rsid w:val="001933DE"/>
    <w:rsid w:val="001A612D"/>
    <w:rsid w:val="001A6C12"/>
    <w:rsid w:val="001C1786"/>
    <w:rsid w:val="001C6481"/>
    <w:rsid w:val="001D78A2"/>
    <w:rsid w:val="001E2869"/>
    <w:rsid w:val="001E5EB7"/>
    <w:rsid w:val="00201D46"/>
    <w:rsid w:val="00227719"/>
    <w:rsid w:val="002278B9"/>
    <w:rsid w:val="00256545"/>
    <w:rsid w:val="00260E92"/>
    <w:rsid w:val="00263CE5"/>
    <w:rsid w:val="00265754"/>
    <w:rsid w:val="002664B7"/>
    <w:rsid w:val="00267B31"/>
    <w:rsid w:val="00270E3B"/>
    <w:rsid w:val="0027617E"/>
    <w:rsid w:val="00276568"/>
    <w:rsid w:val="00281F43"/>
    <w:rsid w:val="00293213"/>
    <w:rsid w:val="002A0318"/>
    <w:rsid w:val="002A50BC"/>
    <w:rsid w:val="002A7439"/>
    <w:rsid w:val="002B4363"/>
    <w:rsid w:val="002D0EB4"/>
    <w:rsid w:val="002D267C"/>
    <w:rsid w:val="002D3358"/>
    <w:rsid w:val="002F51F4"/>
    <w:rsid w:val="003014E1"/>
    <w:rsid w:val="003160F5"/>
    <w:rsid w:val="003213CD"/>
    <w:rsid w:val="003357FC"/>
    <w:rsid w:val="003539F9"/>
    <w:rsid w:val="00355641"/>
    <w:rsid w:val="00363E97"/>
    <w:rsid w:val="003A2693"/>
    <w:rsid w:val="003A2803"/>
    <w:rsid w:val="003A490F"/>
    <w:rsid w:val="003D5B79"/>
    <w:rsid w:val="003E58B4"/>
    <w:rsid w:val="003F21BD"/>
    <w:rsid w:val="003F4BA6"/>
    <w:rsid w:val="0040590C"/>
    <w:rsid w:val="00405FE6"/>
    <w:rsid w:val="004178FD"/>
    <w:rsid w:val="00434A05"/>
    <w:rsid w:val="00464277"/>
    <w:rsid w:val="0047734D"/>
    <w:rsid w:val="00485210"/>
    <w:rsid w:val="004973FD"/>
    <w:rsid w:val="004A040E"/>
    <w:rsid w:val="004B12BA"/>
    <w:rsid w:val="004B244E"/>
    <w:rsid w:val="004B4837"/>
    <w:rsid w:val="004B5D5A"/>
    <w:rsid w:val="004D5699"/>
    <w:rsid w:val="004F58EB"/>
    <w:rsid w:val="00515151"/>
    <w:rsid w:val="00515500"/>
    <w:rsid w:val="00517F1B"/>
    <w:rsid w:val="00524719"/>
    <w:rsid w:val="0052484E"/>
    <w:rsid w:val="005330B7"/>
    <w:rsid w:val="00542BCF"/>
    <w:rsid w:val="00552D3F"/>
    <w:rsid w:val="00565183"/>
    <w:rsid w:val="00576CE4"/>
    <w:rsid w:val="005A207C"/>
    <w:rsid w:val="005A468C"/>
    <w:rsid w:val="005B2D2F"/>
    <w:rsid w:val="005B74EB"/>
    <w:rsid w:val="005C0E34"/>
    <w:rsid w:val="005C52F3"/>
    <w:rsid w:val="005C6DD4"/>
    <w:rsid w:val="005C7CB6"/>
    <w:rsid w:val="005E10E2"/>
    <w:rsid w:val="005E1CD4"/>
    <w:rsid w:val="005E3D20"/>
    <w:rsid w:val="00600957"/>
    <w:rsid w:val="00616ED1"/>
    <w:rsid w:val="00634A94"/>
    <w:rsid w:val="00646410"/>
    <w:rsid w:val="00652FDC"/>
    <w:rsid w:val="00667744"/>
    <w:rsid w:val="00672857"/>
    <w:rsid w:val="00674065"/>
    <w:rsid w:val="00685F0E"/>
    <w:rsid w:val="00687176"/>
    <w:rsid w:val="00692546"/>
    <w:rsid w:val="00696174"/>
    <w:rsid w:val="006966F1"/>
    <w:rsid w:val="006A1A23"/>
    <w:rsid w:val="006C0796"/>
    <w:rsid w:val="006D4385"/>
    <w:rsid w:val="006E4667"/>
    <w:rsid w:val="006E66AE"/>
    <w:rsid w:val="006E788E"/>
    <w:rsid w:val="006F6F40"/>
    <w:rsid w:val="0070306D"/>
    <w:rsid w:val="00714183"/>
    <w:rsid w:val="0072243F"/>
    <w:rsid w:val="007233EA"/>
    <w:rsid w:val="007312B1"/>
    <w:rsid w:val="0073537F"/>
    <w:rsid w:val="0074135A"/>
    <w:rsid w:val="007569A9"/>
    <w:rsid w:val="007711DB"/>
    <w:rsid w:val="007811FA"/>
    <w:rsid w:val="00791C17"/>
    <w:rsid w:val="007C28F5"/>
    <w:rsid w:val="007C583B"/>
    <w:rsid w:val="007D56CE"/>
    <w:rsid w:val="007E5270"/>
    <w:rsid w:val="00807595"/>
    <w:rsid w:val="00807E47"/>
    <w:rsid w:val="00843AD5"/>
    <w:rsid w:val="008827FF"/>
    <w:rsid w:val="0089398D"/>
    <w:rsid w:val="008E4D79"/>
    <w:rsid w:val="008F1F44"/>
    <w:rsid w:val="0090682E"/>
    <w:rsid w:val="00911F2A"/>
    <w:rsid w:val="00914A3E"/>
    <w:rsid w:val="00921BF5"/>
    <w:rsid w:val="009326FC"/>
    <w:rsid w:val="00941DB8"/>
    <w:rsid w:val="00995441"/>
    <w:rsid w:val="009A7E54"/>
    <w:rsid w:val="009B2536"/>
    <w:rsid w:val="009C0E35"/>
    <w:rsid w:val="009E38FF"/>
    <w:rsid w:val="009E47DD"/>
    <w:rsid w:val="009F0DD8"/>
    <w:rsid w:val="009F2F81"/>
    <w:rsid w:val="009F3BA6"/>
    <w:rsid w:val="00A00A89"/>
    <w:rsid w:val="00A0326E"/>
    <w:rsid w:val="00A16169"/>
    <w:rsid w:val="00A21571"/>
    <w:rsid w:val="00A2291A"/>
    <w:rsid w:val="00A30C36"/>
    <w:rsid w:val="00A37BF8"/>
    <w:rsid w:val="00A446B9"/>
    <w:rsid w:val="00A523D0"/>
    <w:rsid w:val="00A565CC"/>
    <w:rsid w:val="00A56A41"/>
    <w:rsid w:val="00A62094"/>
    <w:rsid w:val="00A64387"/>
    <w:rsid w:val="00A718A3"/>
    <w:rsid w:val="00A74C23"/>
    <w:rsid w:val="00A76B10"/>
    <w:rsid w:val="00A8519F"/>
    <w:rsid w:val="00A91402"/>
    <w:rsid w:val="00AA27C6"/>
    <w:rsid w:val="00AA5B04"/>
    <w:rsid w:val="00AB24C3"/>
    <w:rsid w:val="00AC0292"/>
    <w:rsid w:val="00AC75A6"/>
    <w:rsid w:val="00B10C69"/>
    <w:rsid w:val="00B11A4A"/>
    <w:rsid w:val="00B143BF"/>
    <w:rsid w:val="00B163E5"/>
    <w:rsid w:val="00B176E4"/>
    <w:rsid w:val="00B268BB"/>
    <w:rsid w:val="00B46C88"/>
    <w:rsid w:val="00B56453"/>
    <w:rsid w:val="00B56B51"/>
    <w:rsid w:val="00B672B6"/>
    <w:rsid w:val="00B73707"/>
    <w:rsid w:val="00B85C54"/>
    <w:rsid w:val="00B903C0"/>
    <w:rsid w:val="00BA04B4"/>
    <w:rsid w:val="00BA0C35"/>
    <w:rsid w:val="00BE35FC"/>
    <w:rsid w:val="00C025C7"/>
    <w:rsid w:val="00C058CC"/>
    <w:rsid w:val="00C072E5"/>
    <w:rsid w:val="00C115D5"/>
    <w:rsid w:val="00C16977"/>
    <w:rsid w:val="00C36461"/>
    <w:rsid w:val="00C40CFD"/>
    <w:rsid w:val="00C426DA"/>
    <w:rsid w:val="00C42BAF"/>
    <w:rsid w:val="00C6173C"/>
    <w:rsid w:val="00C76515"/>
    <w:rsid w:val="00C800AF"/>
    <w:rsid w:val="00C96E6B"/>
    <w:rsid w:val="00CA2DE8"/>
    <w:rsid w:val="00CA50B2"/>
    <w:rsid w:val="00CB2596"/>
    <w:rsid w:val="00CB3464"/>
    <w:rsid w:val="00CC4811"/>
    <w:rsid w:val="00CD0398"/>
    <w:rsid w:val="00CE7E07"/>
    <w:rsid w:val="00CF5FB4"/>
    <w:rsid w:val="00D07195"/>
    <w:rsid w:val="00D12532"/>
    <w:rsid w:val="00D310A3"/>
    <w:rsid w:val="00D3400B"/>
    <w:rsid w:val="00D63673"/>
    <w:rsid w:val="00D63AA4"/>
    <w:rsid w:val="00D64487"/>
    <w:rsid w:val="00D702A0"/>
    <w:rsid w:val="00D73536"/>
    <w:rsid w:val="00D81F82"/>
    <w:rsid w:val="00DA6864"/>
    <w:rsid w:val="00DB53C3"/>
    <w:rsid w:val="00DE2797"/>
    <w:rsid w:val="00E1017F"/>
    <w:rsid w:val="00E16B5C"/>
    <w:rsid w:val="00E30C73"/>
    <w:rsid w:val="00E31D92"/>
    <w:rsid w:val="00E36AC6"/>
    <w:rsid w:val="00E40D87"/>
    <w:rsid w:val="00E643B8"/>
    <w:rsid w:val="00E66A6E"/>
    <w:rsid w:val="00E70A6D"/>
    <w:rsid w:val="00E8253E"/>
    <w:rsid w:val="00EC0F73"/>
    <w:rsid w:val="00EC167E"/>
    <w:rsid w:val="00EC73ED"/>
    <w:rsid w:val="00F02141"/>
    <w:rsid w:val="00F45C1D"/>
    <w:rsid w:val="00F47A16"/>
    <w:rsid w:val="00F53A98"/>
    <w:rsid w:val="00F56C5D"/>
    <w:rsid w:val="00F63B71"/>
    <w:rsid w:val="00F64BA4"/>
    <w:rsid w:val="00F7002E"/>
    <w:rsid w:val="00F74923"/>
    <w:rsid w:val="00F81124"/>
    <w:rsid w:val="00F8261A"/>
    <w:rsid w:val="00F9297C"/>
    <w:rsid w:val="00FA2D28"/>
    <w:rsid w:val="00FB6CDC"/>
    <w:rsid w:val="00FB769A"/>
    <w:rsid w:val="00FB7E47"/>
    <w:rsid w:val="00FC4696"/>
    <w:rsid w:val="00FD24A0"/>
    <w:rsid w:val="0EA35634"/>
    <w:rsid w:val="2E04609F"/>
    <w:rsid w:val="3F5F64EF"/>
    <w:rsid w:val="4DEB2922"/>
    <w:rsid w:val="629803C1"/>
    <w:rsid w:val="64457D00"/>
    <w:rsid w:val="667A66A8"/>
    <w:rsid w:val="695D23C7"/>
    <w:rsid w:val="6D835DEB"/>
    <w:rsid w:val="763F7291"/>
    <w:rsid w:val="79F11FAE"/>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Calibri" w:hAnsi="Calibri" w:eastAsia="宋体" w:cs="Times New Roman"/>
      <w:sz w:val="18"/>
      <w:szCs w:val="18"/>
    </w:rPr>
  </w:style>
  <w:style w:type="character" w:customStyle="1" w:styleId="8">
    <w:name w:val="批注框文本 Char"/>
    <w:basedOn w:val="6"/>
    <w:link w:val="2"/>
    <w:semiHidden/>
    <w:qFormat/>
    <w:uiPriority w:val="99"/>
    <w:rPr>
      <w:rFonts w:ascii="Calibri" w:hAnsi="Calibri" w:eastAsia="宋体" w:cs="Times New Roman"/>
      <w:sz w:val="18"/>
      <w:szCs w:val="18"/>
    </w:rPr>
  </w:style>
  <w:style w:type="character" w:customStyle="1" w:styleId="9">
    <w:name w:val="页眉 Char"/>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2874</Words>
  <Characters>3093</Characters>
  <Lines>23</Lines>
  <Paragraphs>6</Paragraphs>
  <TotalTime>1007</TotalTime>
  <ScaleCrop>false</ScaleCrop>
  <LinksUpToDate>false</LinksUpToDate>
  <CharactersWithSpaces>3102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2025-03-31T08:39:00Z</dcterms:created>
  <dc:creator>肖子蕾</dc:creator>
  <cp:lastModifiedBy>资产处</cp:lastModifiedBy>
  <cp:lastPrinted>2025-05-30T01:32:00Z</cp:lastPrinted>
  <dcterms:modified xsi:type="dcterms:W3CDTF">2025-06-19T02:42:29Z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eyJoZGlkIjoiZGE3MzEyZmIwYTBjMDkwOWEwZTgxNzMzNDM3MTJhYzQiLCJ1c2VySWQiOiI3OTg4OTkyNTkifQ==</vt:lpwstr>
  </property>
  <property fmtid="{D5CDD505-2E9C-101B-9397-08002B2CF9AE}" pid="3" name="KSOProductBuildVer">
    <vt:lpwstr>2052-12.1.0.21171</vt:lpwstr>
  </property>
  <property fmtid="{D5CDD505-2E9C-101B-9397-08002B2CF9AE}" pid="4" name="ICV">
    <vt:lpwstr>D00834AFC729488E9171EECC1BAF9C14_12</vt:lpwstr>
  </property>
</Properties>
</file>